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D021" w14:textId="77777777" w:rsidR="00CB704A" w:rsidRDefault="00CB704A" w:rsidP="00352B9C">
      <w:pPr>
        <w:autoSpaceDE w:val="0"/>
        <w:autoSpaceDN w:val="0"/>
        <w:adjustRightInd w:val="0"/>
        <w:spacing w:after="0" w:line="240" w:lineRule="auto"/>
        <w:jc w:val="both"/>
        <w:rPr>
          <w:rFonts w:ascii="Cambria" w:hAnsi="Cambria" w:cs="AppleSystemUIFont"/>
          <w:kern w:val="0"/>
          <w:sz w:val="24"/>
          <w:szCs w:val="24"/>
          <w:lang w:val="id-ID"/>
        </w:rPr>
      </w:pPr>
    </w:p>
    <w:p w14:paraId="295FC6EB" w14:textId="77777777" w:rsidR="00562DDA" w:rsidRDefault="00EC2362" w:rsidP="00106D0A">
      <w:pPr>
        <w:autoSpaceDE w:val="0"/>
        <w:autoSpaceDN w:val="0"/>
        <w:adjustRightInd w:val="0"/>
        <w:spacing w:before="100" w:beforeAutospacing="1" w:after="100" w:afterAutospacing="1" w:line="240" w:lineRule="auto"/>
        <w:contextualSpacing/>
        <w:jc w:val="center"/>
        <w:rPr>
          <w:rFonts w:ascii="Poppins" w:hAnsi="Poppins" w:cs="Poppins"/>
          <w:b/>
          <w:bCs/>
          <w:kern w:val="0"/>
          <w:sz w:val="32"/>
          <w:szCs w:val="32"/>
          <w:lang w:val="id-ID"/>
        </w:rPr>
      </w:pPr>
      <w:r w:rsidRPr="00562DDA">
        <w:rPr>
          <w:rFonts w:ascii="Poppins" w:hAnsi="Poppins" w:cs="Poppins"/>
          <w:b/>
          <w:bCs/>
          <w:kern w:val="0"/>
          <w:sz w:val="32"/>
          <w:szCs w:val="32"/>
          <w:lang w:val="id-ID"/>
        </w:rPr>
        <w:t xml:space="preserve">Dampak Efisiensi Anggaran, </w:t>
      </w:r>
      <w:r w:rsidR="00352B9C" w:rsidRPr="00562DDA">
        <w:rPr>
          <w:rFonts w:ascii="Poppins" w:hAnsi="Poppins" w:cs="Poppins"/>
          <w:b/>
          <w:bCs/>
          <w:kern w:val="0"/>
          <w:sz w:val="32"/>
          <w:szCs w:val="32"/>
          <w:lang w:val="id-ID"/>
        </w:rPr>
        <w:t xml:space="preserve">Program Pemda </w:t>
      </w:r>
    </w:p>
    <w:p w14:paraId="78FB35B0" w14:textId="008C81E4" w:rsidR="00352B9C" w:rsidRPr="00562DDA" w:rsidRDefault="00352B9C" w:rsidP="00106D0A">
      <w:pPr>
        <w:autoSpaceDE w:val="0"/>
        <w:autoSpaceDN w:val="0"/>
        <w:adjustRightInd w:val="0"/>
        <w:spacing w:before="100" w:beforeAutospacing="1" w:after="100" w:afterAutospacing="1" w:line="240" w:lineRule="auto"/>
        <w:contextualSpacing/>
        <w:jc w:val="center"/>
        <w:rPr>
          <w:rFonts w:ascii="Poppins" w:hAnsi="Poppins" w:cs="Poppins"/>
          <w:b/>
          <w:bCs/>
          <w:kern w:val="0"/>
          <w:sz w:val="32"/>
          <w:szCs w:val="32"/>
          <w:lang w:val="id-ID"/>
        </w:rPr>
      </w:pPr>
      <w:r w:rsidRPr="00562DDA">
        <w:rPr>
          <w:rFonts w:ascii="Poppins" w:hAnsi="Poppins" w:cs="Poppins"/>
          <w:b/>
          <w:bCs/>
          <w:kern w:val="0"/>
          <w:sz w:val="32"/>
          <w:szCs w:val="32"/>
          <w:lang w:val="id-ID"/>
        </w:rPr>
        <w:t>Berpotensi Mande</w:t>
      </w:r>
      <w:r w:rsidR="00303174" w:rsidRPr="00562DDA">
        <w:rPr>
          <w:rFonts w:ascii="Poppins" w:hAnsi="Poppins" w:cs="Poppins"/>
          <w:b/>
          <w:bCs/>
          <w:kern w:val="0"/>
          <w:sz w:val="32"/>
          <w:szCs w:val="32"/>
          <w:lang w:val="id-ID"/>
        </w:rPr>
        <w:t>k</w:t>
      </w:r>
    </w:p>
    <w:p w14:paraId="58478783" w14:textId="77777777" w:rsidR="00352B9C" w:rsidRPr="00352B9C" w:rsidRDefault="00352B9C" w:rsidP="00106D0A">
      <w:pPr>
        <w:autoSpaceDE w:val="0"/>
        <w:autoSpaceDN w:val="0"/>
        <w:adjustRightInd w:val="0"/>
        <w:spacing w:before="100" w:beforeAutospacing="1" w:after="100" w:afterAutospacing="1" w:line="240" w:lineRule="auto"/>
        <w:contextualSpacing/>
        <w:jc w:val="both"/>
        <w:rPr>
          <w:rFonts w:ascii="Cambria" w:hAnsi="Cambria" w:cs="AppleSystemUIFont"/>
          <w:kern w:val="0"/>
          <w:sz w:val="24"/>
          <w:szCs w:val="24"/>
          <w:lang w:val="id-ID"/>
        </w:rPr>
      </w:pPr>
    </w:p>
    <w:p w14:paraId="5D538D06" w14:textId="66BF23B1" w:rsidR="00F434D5" w:rsidRPr="00F434D5" w:rsidRDefault="00F434D5" w:rsidP="00F434D5">
      <w:pPr>
        <w:autoSpaceDE w:val="0"/>
        <w:autoSpaceDN w:val="0"/>
        <w:adjustRightInd w:val="0"/>
        <w:spacing w:before="100" w:beforeAutospacing="1" w:after="100" w:afterAutospacing="1" w:line="240" w:lineRule="auto"/>
        <w:jc w:val="both"/>
        <w:rPr>
          <w:rFonts w:ascii="Poppins" w:hAnsi="Poppins" w:cs="Poppins"/>
          <w:kern w:val="0"/>
          <w:sz w:val="20"/>
          <w:szCs w:val="20"/>
          <w:lang w:val="id-ID"/>
        </w:rPr>
      </w:pPr>
      <w:r w:rsidRPr="00F434D5">
        <w:rPr>
          <w:rFonts w:ascii="Poppins" w:hAnsi="Poppins" w:cs="Poppins"/>
          <w:b/>
          <w:bCs/>
          <w:kern w:val="0"/>
          <w:sz w:val="20"/>
          <w:szCs w:val="20"/>
          <w:lang w:val="id-ID"/>
        </w:rPr>
        <w:t>JAKARTA –</w:t>
      </w:r>
      <w:r w:rsidRPr="00F434D5">
        <w:rPr>
          <w:rFonts w:ascii="Poppins" w:hAnsi="Poppins" w:cs="Poppins"/>
          <w:kern w:val="0"/>
          <w:sz w:val="20"/>
          <w:szCs w:val="20"/>
          <w:lang w:val="id-ID"/>
        </w:rPr>
        <w:t xml:space="preserve"> Kebijakan efisiensi anggaran yang diberlakukan pemerintah tak hanya menyasar kementerian, tetapi juga jatah pemerintah daerah. Padahal, 88 persen kabupaten/kota di Indonesia masih belum mandiri dari sisi keuangan karena sebagian besar kebutuhan belanjanya mengandalkan transfer dari pemerintah pusat.</w:t>
      </w:r>
    </w:p>
    <w:p w14:paraId="22A681D6" w14:textId="4DC92BAB" w:rsidR="00F434D5" w:rsidRPr="00F434D5" w:rsidRDefault="00F434D5" w:rsidP="00F434D5">
      <w:pPr>
        <w:autoSpaceDE w:val="0"/>
        <w:autoSpaceDN w:val="0"/>
        <w:adjustRightInd w:val="0"/>
        <w:spacing w:before="100" w:beforeAutospacing="1" w:after="100" w:afterAutospacing="1" w:line="240" w:lineRule="auto"/>
        <w:jc w:val="both"/>
        <w:rPr>
          <w:rFonts w:ascii="Poppins" w:hAnsi="Poppins" w:cs="Poppins"/>
          <w:kern w:val="0"/>
          <w:sz w:val="20"/>
          <w:szCs w:val="20"/>
          <w:lang w:val="id-ID"/>
        </w:rPr>
      </w:pPr>
      <w:r w:rsidRPr="00F434D5">
        <w:rPr>
          <w:rFonts w:ascii="Poppins" w:hAnsi="Poppins" w:cs="Poppins"/>
          <w:kern w:val="0"/>
          <w:sz w:val="20"/>
          <w:szCs w:val="20"/>
          <w:lang w:val="id-ID"/>
        </w:rPr>
        <w:t xml:space="preserve">Menurut Direktur Eksekutif NEXT Indonesia Center Christiantoko, lembaga yang dipimpinnya telah menelusuri 499 kabupaten/kota (daerah) dari seharusnya 514. Namun, 15 daerah dikecualikan, karena ada 6 daerah tidak memiliki Anggaran Pendapatan dan Belanja Daerah atau APBD sendiri, yakni di DKI Jakarta. Selain itu, ada sembilan daerah yang laporan keuangannya di luar kewajaran lantaran realisasinya di bawah 55 persen. </w:t>
      </w:r>
    </w:p>
    <w:p w14:paraId="01414800" w14:textId="399D2E51" w:rsidR="00F434D5" w:rsidRPr="00F434D5" w:rsidRDefault="00F434D5" w:rsidP="00F434D5">
      <w:pPr>
        <w:autoSpaceDE w:val="0"/>
        <w:autoSpaceDN w:val="0"/>
        <w:adjustRightInd w:val="0"/>
        <w:spacing w:before="100" w:beforeAutospacing="1" w:after="100" w:afterAutospacing="1" w:line="240" w:lineRule="auto"/>
        <w:jc w:val="both"/>
        <w:rPr>
          <w:rFonts w:ascii="Poppins" w:hAnsi="Poppins" w:cs="Poppins"/>
          <w:kern w:val="0"/>
          <w:sz w:val="20"/>
          <w:szCs w:val="20"/>
          <w:lang w:val="id-ID"/>
        </w:rPr>
      </w:pPr>
      <w:r w:rsidRPr="00F434D5">
        <w:rPr>
          <w:rFonts w:ascii="Poppins" w:hAnsi="Poppins" w:cs="Poppins"/>
          <w:kern w:val="0"/>
          <w:sz w:val="20"/>
          <w:szCs w:val="20"/>
          <w:lang w:val="id-ID"/>
        </w:rPr>
        <w:t xml:space="preserve">Dari hasil penelitian tersebut, katanya, berdasarkan tahun anggaran 2024, masih ada sekitar 440 kabupaten/kota yang belum mandiri dan 52 daerah menuju mandiri. “Hanya ada enam yang mandiri, dan satu sangat mandiri,” ujarnya di Jakarta, Minggu (9/3/2025). </w:t>
      </w:r>
    </w:p>
    <w:p w14:paraId="399A9344" w14:textId="5E06A22E" w:rsidR="00F434D5" w:rsidRPr="00F434D5" w:rsidRDefault="00F434D5" w:rsidP="00F434D5">
      <w:pPr>
        <w:autoSpaceDE w:val="0"/>
        <w:autoSpaceDN w:val="0"/>
        <w:adjustRightInd w:val="0"/>
        <w:spacing w:before="100" w:beforeAutospacing="1" w:after="100" w:afterAutospacing="1" w:line="240" w:lineRule="auto"/>
        <w:jc w:val="both"/>
        <w:rPr>
          <w:rFonts w:ascii="Poppins" w:hAnsi="Poppins" w:cs="Poppins"/>
          <w:kern w:val="0"/>
          <w:sz w:val="20"/>
          <w:szCs w:val="20"/>
          <w:lang w:val="id-ID"/>
        </w:rPr>
      </w:pPr>
      <w:r w:rsidRPr="00F434D5">
        <w:rPr>
          <w:rFonts w:ascii="Poppins" w:hAnsi="Poppins" w:cs="Poppins"/>
          <w:kern w:val="0"/>
          <w:sz w:val="20"/>
          <w:szCs w:val="20"/>
          <w:lang w:val="id-ID"/>
        </w:rPr>
        <w:t>Berdasarkan Instruksi Presiden Nomor 1 Tahun 2025 tentang Efisiensi Belanja dalam Pelaksanaan APBN dan APBD 2025 Tahun Anggaran 2025, Presiden Prabowo memangkas anggaran transfer ke daerah sebesar Rp50,6 triliun. Dana ini merupakan bagian dari pelaksanaan desentralisasi fiskal.</w:t>
      </w:r>
    </w:p>
    <w:p w14:paraId="65424342" w14:textId="3F88A6DD" w:rsidR="00F434D5" w:rsidRPr="00F434D5" w:rsidRDefault="00F434D5" w:rsidP="00F434D5">
      <w:pPr>
        <w:autoSpaceDE w:val="0"/>
        <w:autoSpaceDN w:val="0"/>
        <w:adjustRightInd w:val="0"/>
        <w:spacing w:before="100" w:beforeAutospacing="1" w:after="100" w:afterAutospacing="1" w:line="240" w:lineRule="auto"/>
        <w:jc w:val="both"/>
        <w:rPr>
          <w:rFonts w:ascii="Poppins" w:hAnsi="Poppins" w:cs="Poppins"/>
          <w:kern w:val="0"/>
          <w:sz w:val="20"/>
          <w:szCs w:val="20"/>
          <w:lang w:val="id-ID"/>
        </w:rPr>
      </w:pPr>
      <w:r w:rsidRPr="00F434D5">
        <w:rPr>
          <w:rFonts w:ascii="Poppins" w:hAnsi="Poppins" w:cs="Poppins"/>
          <w:kern w:val="0"/>
          <w:sz w:val="20"/>
          <w:szCs w:val="20"/>
          <w:lang w:val="id-ID"/>
        </w:rPr>
        <w:t xml:space="preserve">Christiantoko menyampaikan, hasil riset NEXT Indonesia menemukan bahwa kondisi fiskal atau keuangan daerah saat ini sungguh mengkhawatirkan. Bahkan sebelum ada pemangkasan anggaran. Dari 499 kabupaten/kota yang menjadi objek riset, ada 440 daerah yang pendapatan asli daerahnya (PAD) tak sampai 25 persen dari total pendapatan. </w:t>
      </w:r>
    </w:p>
    <w:p w14:paraId="40727420" w14:textId="78763231" w:rsidR="00F434D5" w:rsidRPr="00F434D5" w:rsidRDefault="00F434D5" w:rsidP="00F434D5">
      <w:pPr>
        <w:autoSpaceDE w:val="0"/>
        <w:autoSpaceDN w:val="0"/>
        <w:adjustRightInd w:val="0"/>
        <w:spacing w:before="100" w:beforeAutospacing="1" w:after="100" w:afterAutospacing="1" w:line="240" w:lineRule="auto"/>
        <w:jc w:val="both"/>
        <w:rPr>
          <w:rFonts w:ascii="Poppins" w:hAnsi="Poppins" w:cs="Poppins"/>
          <w:kern w:val="0"/>
          <w:sz w:val="20"/>
          <w:szCs w:val="20"/>
          <w:lang w:val="id-ID"/>
        </w:rPr>
      </w:pPr>
      <w:r w:rsidRPr="00F434D5">
        <w:rPr>
          <w:rFonts w:ascii="Poppins" w:hAnsi="Poppins" w:cs="Poppins"/>
          <w:kern w:val="0"/>
          <w:sz w:val="20"/>
          <w:szCs w:val="20"/>
          <w:lang w:val="id-ID"/>
        </w:rPr>
        <w:t>“Jadi sisanya bergantung pada transfer daerah. Sebab pendapatan daerah itu sumbernya dari PAD, kiriman pemerintah pusat, dan sumber lain,” ungkapnya.</w:t>
      </w:r>
    </w:p>
    <w:p w14:paraId="51C1D242" w14:textId="192D3516" w:rsidR="00F434D5" w:rsidRDefault="00F434D5" w:rsidP="00F434D5">
      <w:pPr>
        <w:autoSpaceDE w:val="0"/>
        <w:autoSpaceDN w:val="0"/>
        <w:adjustRightInd w:val="0"/>
        <w:spacing w:before="100" w:beforeAutospacing="1" w:after="100" w:afterAutospacing="1" w:line="240" w:lineRule="auto"/>
        <w:jc w:val="both"/>
        <w:rPr>
          <w:rFonts w:ascii="Poppins" w:hAnsi="Poppins" w:cs="Poppins"/>
          <w:kern w:val="0"/>
          <w:sz w:val="20"/>
          <w:szCs w:val="20"/>
          <w:lang w:val="id-ID"/>
        </w:rPr>
      </w:pPr>
      <w:r w:rsidRPr="00F434D5">
        <w:rPr>
          <w:rFonts w:ascii="Poppins" w:hAnsi="Poppins" w:cs="Poppins"/>
          <w:kern w:val="0"/>
          <w:sz w:val="20"/>
          <w:szCs w:val="20"/>
          <w:lang w:val="id-ID"/>
        </w:rPr>
        <w:t>Kiriman dana dari pemerintah pusat ke daerah itu dikenal dengan istilah transfer ke daerah dan dana desa (TKDD). Di dalamnya, meliputi dana bagi hasil, dana alokasi umum, dana alokasi khusus fisik dan non fisik, dana desa, dana insentif daerah, dana otonomi khusus, dan dana keistimewaan untuk daerah tertentu.</w:t>
      </w:r>
    </w:p>
    <w:p w14:paraId="7FFAA6AB" w14:textId="77777777" w:rsidR="00F434D5" w:rsidRDefault="00F434D5" w:rsidP="00F434D5">
      <w:pPr>
        <w:autoSpaceDE w:val="0"/>
        <w:autoSpaceDN w:val="0"/>
        <w:adjustRightInd w:val="0"/>
        <w:spacing w:before="100" w:beforeAutospacing="1" w:after="100" w:afterAutospacing="1" w:line="240" w:lineRule="auto"/>
        <w:jc w:val="both"/>
        <w:rPr>
          <w:rFonts w:ascii="Poppins" w:hAnsi="Poppins" w:cs="Poppins"/>
          <w:kern w:val="0"/>
          <w:sz w:val="20"/>
          <w:szCs w:val="20"/>
          <w:lang w:val="id-ID"/>
        </w:rPr>
      </w:pPr>
    </w:p>
    <w:p w14:paraId="136D183C" w14:textId="77777777" w:rsidR="00F434D5" w:rsidRDefault="00F434D5" w:rsidP="00F434D5">
      <w:pPr>
        <w:autoSpaceDE w:val="0"/>
        <w:autoSpaceDN w:val="0"/>
        <w:adjustRightInd w:val="0"/>
        <w:spacing w:before="100" w:beforeAutospacing="1" w:after="100" w:afterAutospacing="1" w:line="240" w:lineRule="auto"/>
        <w:jc w:val="both"/>
        <w:rPr>
          <w:rFonts w:ascii="Poppins" w:hAnsi="Poppins" w:cs="Poppins"/>
          <w:kern w:val="0"/>
          <w:sz w:val="20"/>
          <w:szCs w:val="20"/>
          <w:lang w:val="id-ID"/>
        </w:rPr>
      </w:pPr>
    </w:p>
    <w:p w14:paraId="5DC3D26B" w14:textId="77777777" w:rsidR="00F434D5" w:rsidRDefault="00F434D5" w:rsidP="00F434D5">
      <w:pPr>
        <w:autoSpaceDE w:val="0"/>
        <w:autoSpaceDN w:val="0"/>
        <w:adjustRightInd w:val="0"/>
        <w:spacing w:before="100" w:beforeAutospacing="1" w:after="100" w:afterAutospacing="1" w:line="240" w:lineRule="auto"/>
        <w:jc w:val="both"/>
        <w:rPr>
          <w:rFonts w:ascii="Poppins" w:hAnsi="Poppins" w:cs="Poppins"/>
          <w:kern w:val="0"/>
          <w:sz w:val="20"/>
          <w:szCs w:val="20"/>
          <w:lang w:val="id-ID"/>
        </w:rPr>
      </w:pPr>
    </w:p>
    <w:p w14:paraId="20630C9B" w14:textId="6C3A3503" w:rsidR="00F434D5" w:rsidRDefault="00F434D5" w:rsidP="00F434D5">
      <w:pPr>
        <w:autoSpaceDE w:val="0"/>
        <w:autoSpaceDN w:val="0"/>
        <w:adjustRightInd w:val="0"/>
        <w:spacing w:before="100" w:beforeAutospacing="1" w:after="100" w:afterAutospacing="1" w:line="240" w:lineRule="auto"/>
        <w:jc w:val="center"/>
        <w:rPr>
          <w:rFonts w:ascii="Poppins" w:hAnsi="Poppins" w:cs="Poppins"/>
          <w:kern w:val="0"/>
          <w:sz w:val="20"/>
          <w:szCs w:val="20"/>
          <w:lang w:val="id-ID"/>
        </w:rPr>
      </w:pPr>
      <w:r>
        <w:rPr>
          <w:noProof/>
        </w:rPr>
        <w:lastRenderedPageBreak/>
        <w:drawing>
          <wp:inline distT="0" distB="0" distL="0" distR="0" wp14:anchorId="10109773" wp14:editId="678EC4DB">
            <wp:extent cx="4583575" cy="3321934"/>
            <wp:effectExtent l="0" t="0" r="13970" b="18415"/>
            <wp:docPr id="1379089325" name="Chart 1">
              <a:extLst xmlns:a="http://schemas.openxmlformats.org/drawingml/2006/main">
                <a:ext uri="{FF2B5EF4-FFF2-40B4-BE49-F238E27FC236}">
                  <a16:creationId xmlns:a16="http://schemas.microsoft.com/office/drawing/2014/main" id="{E076191E-64BA-B54B-BBF9-2D46CAEDE8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08D3898" w14:textId="210435DC" w:rsidR="00F434D5" w:rsidRPr="00F434D5" w:rsidRDefault="00F434D5" w:rsidP="00F434D5">
      <w:pPr>
        <w:autoSpaceDE w:val="0"/>
        <w:autoSpaceDN w:val="0"/>
        <w:adjustRightInd w:val="0"/>
        <w:spacing w:after="0" w:line="240" w:lineRule="auto"/>
        <w:jc w:val="center"/>
        <w:rPr>
          <w:rFonts w:ascii="Poppins" w:hAnsi="Poppins" w:cs="Poppins"/>
          <w:i/>
          <w:iCs/>
          <w:kern w:val="0"/>
          <w:sz w:val="16"/>
          <w:szCs w:val="16"/>
          <w:lang w:val="id-ID"/>
        </w:rPr>
      </w:pPr>
      <w:r w:rsidRPr="00F434D5">
        <w:rPr>
          <w:rFonts w:ascii="Poppins" w:hAnsi="Poppins" w:cs="Poppins"/>
          <w:i/>
          <w:iCs/>
          <w:kern w:val="0"/>
          <w:sz w:val="16"/>
          <w:szCs w:val="16"/>
          <w:lang w:val="id-ID"/>
        </w:rPr>
        <w:t>Sumber: Kementerian Keuangan</w:t>
      </w:r>
    </w:p>
    <w:p w14:paraId="4BE53561" w14:textId="00A6FB52" w:rsidR="00F434D5" w:rsidRPr="00F434D5" w:rsidRDefault="00F434D5" w:rsidP="00F434D5">
      <w:pPr>
        <w:autoSpaceDE w:val="0"/>
        <w:autoSpaceDN w:val="0"/>
        <w:adjustRightInd w:val="0"/>
        <w:spacing w:before="100" w:beforeAutospacing="1" w:after="100" w:afterAutospacing="1" w:line="240" w:lineRule="auto"/>
        <w:jc w:val="both"/>
        <w:rPr>
          <w:rFonts w:ascii="Poppins" w:hAnsi="Poppins" w:cs="Poppins"/>
          <w:kern w:val="0"/>
          <w:sz w:val="20"/>
          <w:szCs w:val="20"/>
          <w:lang w:val="id-ID"/>
        </w:rPr>
      </w:pPr>
      <w:r w:rsidRPr="00F434D5">
        <w:rPr>
          <w:rFonts w:ascii="Poppins" w:hAnsi="Poppins" w:cs="Poppins"/>
          <w:kern w:val="0"/>
          <w:sz w:val="20"/>
          <w:szCs w:val="20"/>
          <w:lang w:val="id-ID"/>
        </w:rPr>
        <w:t>Pada 2024, data Kementerian Keuangan mengungkapkan total realisasi pendapatan 514 daerah mencapai Rp878,2 triliun. Dari jumlah tersebut Rp658,0 triliun atau 74,9 persen di antaranya merupakan penerimaan daerah yang berasal dari TKDD. Sedangkan PAD sebesar Rp153,2 triliun (17,4 persen) dan pendapatan lainnya hanya Rp9,1 triliun (7,6 persen).</w:t>
      </w:r>
    </w:p>
    <w:p w14:paraId="5F08C238" w14:textId="3992EDD3" w:rsidR="00F434D5" w:rsidRPr="00F434D5" w:rsidRDefault="00F434D5" w:rsidP="00F434D5">
      <w:pPr>
        <w:autoSpaceDE w:val="0"/>
        <w:autoSpaceDN w:val="0"/>
        <w:adjustRightInd w:val="0"/>
        <w:spacing w:before="100" w:beforeAutospacing="1" w:after="100" w:afterAutospacing="1" w:line="240" w:lineRule="auto"/>
        <w:jc w:val="both"/>
        <w:rPr>
          <w:rFonts w:ascii="Poppins" w:hAnsi="Poppins" w:cs="Poppins"/>
          <w:kern w:val="0"/>
          <w:sz w:val="20"/>
          <w:szCs w:val="20"/>
          <w:lang w:val="id-ID"/>
        </w:rPr>
      </w:pPr>
      <w:r w:rsidRPr="00F434D5">
        <w:rPr>
          <w:rFonts w:ascii="Poppins" w:hAnsi="Poppins" w:cs="Poppins"/>
          <w:kern w:val="0"/>
          <w:sz w:val="20"/>
          <w:szCs w:val="20"/>
          <w:lang w:val="id-ID"/>
        </w:rPr>
        <w:t>Mengacu pada kriteria yang digunakan oleh Badan Pemeriksa Keuangan, kabupaten/kota dengan PAD di bawah 25 persen dari total pendapatan termasuk “Belum Mandiri”. Jika PAD berkisar 25 hingga di bawah 50 persen, kategorinya “Menuju Kemandirian”. Kabupaten/Kota dikatakan “Mandiri” kalau memiliki PAD 50-74 persen. Sementara daerah yang memiliki PAD 75-100 persen terhadap total pendapatan, kategorinya “Sangat Mandiri”.</w:t>
      </w:r>
    </w:p>
    <w:p w14:paraId="704FA43F" w14:textId="54BA7FC5" w:rsidR="00F434D5" w:rsidRPr="00F434D5" w:rsidRDefault="00F434D5" w:rsidP="00F434D5">
      <w:pPr>
        <w:autoSpaceDE w:val="0"/>
        <w:autoSpaceDN w:val="0"/>
        <w:adjustRightInd w:val="0"/>
        <w:spacing w:before="100" w:beforeAutospacing="1" w:after="100" w:afterAutospacing="1" w:line="240" w:lineRule="auto"/>
        <w:jc w:val="both"/>
        <w:rPr>
          <w:rFonts w:ascii="Poppins" w:hAnsi="Poppins" w:cs="Poppins"/>
          <w:kern w:val="0"/>
          <w:sz w:val="20"/>
          <w:szCs w:val="20"/>
          <w:lang w:val="id-ID"/>
        </w:rPr>
      </w:pPr>
      <w:r w:rsidRPr="00F434D5">
        <w:rPr>
          <w:rFonts w:ascii="Poppins" w:hAnsi="Poppins" w:cs="Poppins"/>
          <w:kern w:val="0"/>
          <w:sz w:val="20"/>
          <w:szCs w:val="20"/>
          <w:lang w:val="id-ID"/>
        </w:rPr>
        <w:t>Berpatokan pada standar tersebut, kondisi keuangan daerah saat ini sangat rawan. “Apalagi ditambah dengan pemangkasan akibat efisiensi, bisa-bisa banyak program di kabupaten/kota yang mandek. Alih-alih mau efisiensi,” ungkapnya.</w:t>
      </w:r>
    </w:p>
    <w:p w14:paraId="1BE9E881" w14:textId="11C48F12" w:rsidR="00F434D5" w:rsidRDefault="00F434D5" w:rsidP="00F434D5">
      <w:pPr>
        <w:spacing w:before="100" w:beforeAutospacing="1" w:after="100" w:afterAutospacing="1" w:line="240" w:lineRule="auto"/>
        <w:jc w:val="both"/>
        <w:rPr>
          <w:rFonts w:ascii="Poppins" w:hAnsi="Poppins" w:cs="Poppins"/>
          <w:kern w:val="0"/>
          <w:sz w:val="20"/>
          <w:szCs w:val="20"/>
          <w:lang w:val="id-ID"/>
        </w:rPr>
      </w:pPr>
      <w:r w:rsidRPr="00F434D5">
        <w:rPr>
          <w:rFonts w:ascii="Poppins" w:hAnsi="Poppins" w:cs="Poppins"/>
          <w:kern w:val="0"/>
          <w:sz w:val="20"/>
          <w:szCs w:val="20"/>
          <w:lang w:val="id-ID"/>
        </w:rPr>
        <w:t>Dari hasil riset NEXT Indonesia yang mengacu pada data tahun anggaran 2024, ada tujuh daerah yang sudah mandiri. Mereka berhasil mengurangi ketergantungan terhadap kiriman dana dari pemerintah pusat hingga di bawah 50 persen dari Anggaran Pendapatan dan Belanja Daerah (APBD).</w:t>
      </w:r>
    </w:p>
    <w:p w14:paraId="7D79A00C" w14:textId="77777777" w:rsidR="00F434D5" w:rsidRDefault="00F434D5" w:rsidP="00F434D5">
      <w:pPr>
        <w:spacing w:before="100" w:beforeAutospacing="1" w:after="100" w:afterAutospacing="1" w:line="240" w:lineRule="auto"/>
        <w:jc w:val="both"/>
        <w:rPr>
          <w:rFonts w:ascii="Poppins" w:hAnsi="Poppins" w:cs="Poppins"/>
          <w:kern w:val="0"/>
          <w:sz w:val="20"/>
          <w:szCs w:val="20"/>
          <w:lang w:val="id-ID"/>
        </w:rPr>
      </w:pPr>
    </w:p>
    <w:p w14:paraId="2AC511B7" w14:textId="77777777" w:rsidR="00F434D5" w:rsidRPr="00BE096A" w:rsidRDefault="00F434D5" w:rsidP="00F434D5">
      <w:pPr>
        <w:spacing w:after="240"/>
        <w:jc w:val="center"/>
        <w:rPr>
          <w:rFonts w:ascii="Poppins" w:hAnsi="Poppins" w:cs="Poppins"/>
          <w:b/>
          <w:bCs/>
          <w:sz w:val="20"/>
          <w:szCs w:val="20"/>
          <w:lang w:val="id-ID"/>
        </w:rPr>
      </w:pPr>
      <w:r w:rsidRPr="00BE096A">
        <w:rPr>
          <w:rFonts w:ascii="Poppins" w:eastAsia="Times New Roman" w:hAnsi="Poppins" w:cs="Poppins"/>
          <w:b/>
          <w:bCs/>
          <w:color w:val="000000"/>
          <w:kern w:val="0"/>
          <w:sz w:val="20"/>
          <w:szCs w:val="20"/>
          <w:lang w:val="id-ID"/>
          <w14:ligatures w14:val="none"/>
        </w:rPr>
        <w:lastRenderedPageBreak/>
        <w:t>7 Kabupaten/Kota dengan Indeks Kemandirian Fiskal Tertinggi</w:t>
      </w:r>
    </w:p>
    <w:tbl>
      <w:tblPr>
        <w:tblW w:w="6475" w:type="dxa"/>
        <w:jc w:val="center"/>
        <w:tblLook w:val="04A0" w:firstRow="1" w:lastRow="0" w:firstColumn="1" w:lastColumn="0" w:noHBand="0" w:noVBand="1"/>
      </w:tblPr>
      <w:tblGrid>
        <w:gridCol w:w="2785"/>
        <w:gridCol w:w="1710"/>
        <w:gridCol w:w="1980"/>
      </w:tblGrid>
      <w:tr w:rsidR="00F434D5" w:rsidRPr="00065580" w14:paraId="0130A37C" w14:textId="77777777" w:rsidTr="00F90E46">
        <w:trPr>
          <w:trHeight w:val="320"/>
          <w:jc w:val="center"/>
        </w:trPr>
        <w:tc>
          <w:tcPr>
            <w:tcW w:w="27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4560A9" w14:textId="77777777" w:rsidR="00F434D5" w:rsidRPr="00065580" w:rsidRDefault="00F434D5" w:rsidP="003D0710">
            <w:pPr>
              <w:spacing w:after="0"/>
              <w:jc w:val="center"/>
              <w:rPr>
                <w:rFonts w:ascii="Cambria" w:eastAsia="Times New Roman" w:hAnsi="Cambria" w:cs="Calibri"/>
                <w:b/>
                <w:bCs/>
                <w:color w:val="000000"/>
                <w:kern w:val="0"/>
                <w14:ligatures w14:val="none"/>
              </w:rPr>
            </w:pPr>
            <w:r w:rsidRPr="00065580">
              <w:rPr>
                <w:rFonts w:ascii="Cambria" w:eastAsia="Times New Roman" w:hAnsi="Cambria" w:cs="Calibri"/>
                <w:b/>
                <w:bCs/>
                <w:color w:val="000000"/>
                <w:kern w:val="0"/>
                <w14:ligatures w14:val="none"/>
              </w:rPr>
              <w:t>Wilayah</w:t>
            </w:r>
          </w:p>
        </w:tc>
        <w:tc>
          <w:tcPr>
            <w:tcW w:w="3690" w:type="dxa"/>
            <w:gridSpan w:val="2"/>
            <w:tcBorders>
              <w:top w:val="single" w:sz="4" w:space="0" w:color="auto"/>
              <w:left w:val="nil"/>
              <w:bottom w:val="single" w:sz="4" w:space="0" w:color="auto"/>
              <w:right w:val="single" w:sz="4" w:space="0" w:color="000000"/>
            </w:tcBorders>
            <w:shd w:val="clear" w:color="auto" w:fill="auto"/>
            <w:vAlign w:val="center"/>
            <w:hideMark/>
          </w:tcPr>
          <w:p w14:paraId="319A22AA" w14:textId="77777777" w:rsidR="00F434D5" w:rsidRPr="00065580" w:rsidRDefault="00F434D5" w:rsidP="003D0710">
            <w:pPr>
              <w:spacing w:after="0"/>
              <w:jc w:val="center"/>
              <w:rPr>
                <w:rFonts w:ascii="Cambria" w:eastAsia="Times New Roman" w:hAnsi="Cambria" w:cs="Calibri"/>
                <w:b/>
                <w:bCs/>
                <w:color w:val="000000"/>
                <w:kern w:val="0"/>
                <w14:ligatures w14:val="none"/>
              </w:rPr>
            </w:pPr>
            <w:r w:rsidRPr="00065580">
              <w:rPr>
                <w:rFonts w:ascii="Cambria" w:eastAsia="Times New Roman" w:hAnsi="Cambria" w:cs="Calibri"/>
                <w:b/>
                <w:bCs/>
                <w:color w:val="000000"/>
                <w:kern w:val="0"/>
                <w14:ligatures w14:val="none"/>
              </w:rPr>
              <w:t xml:space="preserve">Indeks </w:t>
            </w:r>
            <w:r>
              <w:rPr>
                <w:rFonts w:ascii="Cambria" w:eastAsia="Times New Roman" w:hAnsi="Cambria" w:cs="Calibri"/>
                <w:b/>
                <w:bCs/>
                <w:color w:val="000000"/>
                <w:kern w:val="0"/>
                <w14:ligatures w14:val="none"/>
              </w:rPr>
              <w:t>K</w:t>
            </w:r>
            <w:r w:rsidRPr="00065580">
              <w:rPr>
                <w:rFonts w:ascii="Cambria" w:eastAsia="Times New Roman" w:hAnsi="Cambria" w:cs="Calibri"/>
                <w:b/>
                <w:bCs/>
                <w:color w:val="000000"/>
                <w:kern w:val="0"/>
                <w14:ligatures w14:val="none"/>
              </w:rPr>
              <w:t xml:space="preserve">emandirian Fiskal </w:t>
            </w:r>
          </w:p>
        </w:tc>
      </w:tr>
      <w:tr w:rsidR="00F434D5" w:rsidRPr="00065580" w14:paraId="0970D103" w14:textId="77777777" w:rsidTr="00F90E46">
        <w:trPr>
          <w:trHeight w:val="300"/>
          <w:jc w:val="center"/>
        </w:trPr>
        <w:tc>
          <w:tcPr>
            <w:tcW w:w="2785" w:type="dxa"/>
            <w:vMerge/>
            <w:tcBorders>
              <w:top w:val="single" w:sz="4" w:space="0" w:color="auto"/>
              <w:left w:val="single" w:sz="4" w:space="0" w:color="auto"/>
              <w:bottom w:val="single" w:sz="4" w:space="0" w:color="000000"/>
              <w:right w:val="single" w:sz="4" w:space="0" w:color="auto"/>
            </w:tcBorders>
            <w:vAlign w:val="center"/>
            <w:hideMark/>
          </w:tcPr>
          <w:p w14:paraId="41FC89B7" w14:textId="77777777" w:rsidR="00F434D5" w:rsidRPr="00065580" w:rsidRDefault="00F434D5" w:rsidP="003D0710">
            <w:pPr>
              <w:spacing w:after="0"/>
              <w:rPr>
                <w:rFonts w:ascii="Cambria" w:eastAsia="Times New Roman" w:hAnsi="Cambria" w:cs="Calibri"/>
                <w:b/>
                <w:bCs/>
                <w:color w:val="000000"/>
                <w:kern w:val="0"/>
                <w14:ligatures w14:val="none"/>
              </w:rPr>
            </w:pPr>
          </w:p>
        </w:tc>
        <w:tc>
          <w:tcPr>
            <w:tcW w:w="1710" w:type="dxa"/>
            <w:tcBorders>
              <w:top w:val="nil"/>
              <w:left w:val="nil"/>
              <w:bottom w:val="single" w:sz="4" w:space="0" w:color="auto"/>
              <w:right w:val="single" w:sz="4" w:space="0" w:color="auto"/>
            </w:tcBorders>
            <w:shd w:val="clear" w:color="auto" w:fill="auto"/>
            <w:vAlign w:val="center"/>
            <w:hideMark/>
          </w:tcPr>
          <w:p w14:paraId="103BF7C5" w14:textId="77777777" w:rsidR="00F434D5" w:rsidRPr="00065580" w:rsidRDefault="00F434D5" w:rsidP="003D0710">
            <w:pPr>
              <w:spacing w:after="0"/>
              <w:jc w:val="center"/>
              <w:rPr>
                <w:rFonts w:ascii="Cambria" w:eastAsia="Times New Roman" w:hAnsi="Cambria" w:cs="Calibri"/>
                <w:b/>
                <w:bCs/>
                <w:color w:val="000000"/>
                <w:kern w:val="0"/>
                <w14:ligatures w14:val="none"/>
              </w:rPr>
            </w:pPr>
            <w:r w:rsidRPr="00065580">
              <w:rPr>
                <w:rFonts w:ascii="Cambria" w:eastAsia="Times New Roman" w:hAnsi="Cambria" w:cs="Calibri"/>
                <w:b/>
                <w:bCs/>
                <w:color w:val="000000"/>
                <w:kern w:val="0"/>
                <w14:ligatures w14:val="none"/>
              </w:rPr>
              <w:t>2024</w:t>
            </w:r>
          </w:p>
        </w:tc>
        <w:tc>
          <w:tcPr>
            <w:tcW w:w="1980" w:type="dxa"/>
            <w:tcBorders>
              <w:top w:val="nil"/>
              <w:left w:val="nil"/>
              <w:bottom w:val="single" w:sz="4" w:space="0" w:color="auto"/>
              <w:right w:val="single" w:sz="4" w:space="0" w:color="auto"/>
            </w:tcBorders>
            <w:shd w:val="clear" w:color="auto" w:fill="auto"/>
            <w:vAlign w:val="center"/>
            <w:hideMark/>
          </w:tcPr>
          <w:p w14:paraId="679CE7AD" w14:textId="77777777" w:rsidR="00F434D5" w:rsidRPr="00065580" w:rsidRDefault="00F434D5" w:rsidP="003D0710">
            <w:pPr>
              <w:spacing w:after="0"/>
              <w:jc w:val="center"/>
              <w:rPr>
                <w:rFonts w:ascii="Cambria" w:eastAsia="Times New Roman" w:hAnsi="Cambria" w:cs="Calibri"/>
                <w:b/>
                <w:bCs/>
                <w:color w:val="000000"/>
                <w:kern w:val="0"/>
                <w14:ligatures w14:val="none"/>
              </w:rPr>
            </w:pPr>
            <w:r w:rsidRPr="00065580">
              <w:rPr>
                <w:rFonts w:ascii="Cambria" w:eastAsia="Times New Roman" w:hAnsi="Cambria" w:cs="Calibri"/>
                <w:b/>
                <w:bCs/>
                <w:color w:val="000000"/>
                <w:kern w:val="0"/>
                <w14:ligatures w14:val="none"/>
              </w:rPr>
              <w:t>2023</w:t>
            </w:r>
          </w:p>
        </w:tc>
      </w:tr>
      <w:tr w:rsidR="00F434D5" w:rsidRPr="00065580" w14:paraId="0D72D7A1" w14:textId="77777777" w:rsidTr="00F90E46">
        <w:trPr>
          <w:trHeight w:val="320"/>
          <w:jc w:val="center"/>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480F088D" w14:textId="77777777" w:rsidR="00F434D5" w:rsidRPr="00065580" w:rsidRDefault="00F434D5" w:rsidP="003D0710">
            <w:pPr>
              <w:spacing w:after="0"/>
              <w:rPr>
                <w:rFonts w:ascii="Cambria" w:eastAsia="Times New Roman" w:hAnsi="Cambria" w:cs="Calibri"/>
                <w:color w:val="000000"/>
                <w:kern w:val="0"/>
                <w14:ligatures w14:val="none"/>
              </w:rPr>
            </w:pPr>
            <w:r w:rsidRPr="00065580">
              <w:rPr>
                <w:rFonts w:ascii="Cambria" w:eastAsia="Times New Roman" w:hAnsi="Cambria" w:cs="Calibri"/>
                <w:color w:val="000000"/>
                <w:kern w:val="0"/>
                <w:lang w:val="id-ID"/>
                <w14:ligatures w14:val="none"/>
              </w:rPr>
              <w:t>Kabupaten Badung</w:t>
            </w:r>
          </w:p>
        </w:tc>
        <w:tc>
          <w:tcPr>
            <w:tcW w:w="1710" w:type="dxa"/>
            <w:tcBorders>
              <w:top w:val="nil"/>
              <w:left w:val="nil"/>
              <w:bottom w:val="single" w:sz="4" w:space="0" w:color="auto"/>
              <w:right w:val="single" w:sz="4" w:space="0" w:color="auto"/>
            </w:tcBorders>
            <w:shd w:val="clear" w:color="auto" w:fill="auto"/>
            <w:noWrap/>
            <w:vAlign w:val="bottom"/>
            <w:hideMark/>
          </w:tcPr>
          <w:p w14:paraId="03C7E65D" w14:textId="77777777" w:rsidR="00F434D5" w:rsidRPr="00065580" w:rsidRDefault="00F434D5" w:rsidP="003D0710">
            <w:pPr>
              <w:spacing w:after="0"/>
              <w:jc w:val="center"/>
              <w:rPr>
                <w:rFonts w:ascii="Cambria" w:eastAsia="Times New Roman" w:hAnsi="Cambria" w:cs="Calibri"/>
                <w:color w:val="000000"/>
                <w:kern w:val="0"/>
                <w14:ligatures w14:val="none"/>
              </w:rPr>
            </w:pPr>
            <w:r w:rsidRPr="00065580">
              <w:rPr>
                <w:rFonts w:ascii="Cambria" w:eastAsia="Times New Roman" w:hAnsi="Cambria" w:cs="Calibri"/>
                <w:color w:val="000000"/>
                <w:kern w:val="0"/>
                <w14:ligatures w14:val="none"/>
              </w:rPr>
              <w:t>87</w:t>
            </w:r>
            <w:r>
              <w:rPr>
                <w:rFonts w:ascii="Cambria" w:eastAsia="Times New Roman" w:hAnsi="Cambria" w:cs="Calibri"/>
                <w:color w:val="000000"/>
                <w:kern w:val="0"/>
                <w14:ligatures w14:val="none"/>
              </w:rPr>
              <w:t>,</w:t>
            </w:r>
            <w:r w:rsidRPr="00065580">
              <w:rPr>
                <w:rFonts w:ascii="Cambria" w:eastAsia="Times New Roman" w:hAnsi="Cambria" w:cs="Calibri"/>
                <w:color w:val="000000"/>
                <w:kern w:val="0"/>
                <w14:ligatures w14:val="none"/>
              </w:rPr>
              <w:t>8</w:t>
            </w:r>
          </w:p>
        </w:tc>
        <w:tc>
          <w:tcPr>
            <w:tcW w:w="1980" w:type="dxa"/>
            <w:tcBorders>
              <w:top w:val="nil"/>
              <w:left w:val="nil"/>
              <w:bottom w:val="single" w:sz="4" w:space="0" w:color="auto"/>
              <w:right w:val="single" w:sz="4" w:space="0" w:color="auto"/>
            </w:tcBorders>
            <w:shd w:val="clear" w:color="auto" w:fill="auto"/>
            <w:noWrap/>
            <w:vAlign w:val="bottom"/>
            <w:hideMark/>
          </w:tcPr>
          <w:p w14:paraId="26DD28CC" w14:textId="77777777" w:rsidR="00F434D5" w:rsidRPr="00065580" w:rsidRDefault="00F434D5" w:rsidP="003D0710">
            <w:pPr>
              <w:spacing w:after="0"/>
              <w:jc w:val="center"/>
              <w:rPr>
                <w:rFonts w:ascii="Cambria" w:eastAsia="Times New Roman" w:hAnsi="Cambria" w:cs="Calibri"/>
                <w:color w:val="000000"/>
                <w:kern w:val="0"/>
                <w14:ligatures w14:val="none"/>
              </w:rPr>
            </w:pPr>
            <w:r w:rsidRPr="00065580">
              <w:rPr>
                <w:rFonts w:ascii="Cambria" w:eastAsia="Times New Roman" w:hAnsi="Cambria" w:cs="Calibri"/>
                <w:color w:val="000000"/>
                <w:kern w:val="0"/>
                <w14:ligatures w14:val="none"/>
              </w:rPr>
              <w:t>87</w:t>
            </w:r>
            <w:r>
              <w:rPr>
                <w:rFonts w:ascii="Cambria" w:eastAsia="Times New Roman" w:hAnsi="Cambria" w:cs="Calibri"/>
                <w:color w:val="000000"/>
                <w:kern w:val="0"/>
                <w14:ligatures w14:val="none"/>
              </w:rPr>
              <w:t>,</w:t>
            </w:r>
            <w:r w:rsidRPr="00065580">
              <w:rPr>
                <w:rFonts w:ascii="Cambria" w:eastAsia="Times New Roman" w:hAnsi="Cambria" w:cs="Calibri"/>
                <w:color w:val="000000"/>
                <w:kern w:val="0"/>
                <w14:ligatures w14:val="none"/>
              </w:rPr>
              <w:t>4</w:t>
            </w:r>
          </w:p>
        </w:tc>
      </w:tr>
      <w:tr w:rsidR="00F434D5" w:rsidRPr="00065580" w14:paraId="51B63B9A" w14:textId="77777777" w:rsidTr="00F90E46">
        <w:trPr>
          <w:trHeight w:val="320"/>
          <w:jc w:val="center"/>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09C6F3D7" w14:textId="77777777" w:rsidR="00F434D5" w:rsidRPr="00065580" w:rsidRDefault="00F434D5" w:rsidP="003D0710">
            <w:pPr>
              <w:spacing w:after="0"/>
              <w:rPr>
                <w:rFonts w:ascii="Cambria" w:eastAsia="Times New Roman" w:hAnsi="Cambria" w:cs="Calibri"/>
                <w:color w:val="000000"/>
                <w:kern w:val="0"/>
                <w14:ligatures w14:val="none"/>
              </w:rPr>
            </w:pPr>
            <w:r w:rsidRPr="00065580">
              <w:rPr>
                <w:rFonts w:ascii="Cambria" w:eastAsia="Times New Roman" w:hAnsi="Cambria" w:cs="Calibri"/>
                <w:color w:val="000000"/>
                <w:kern w:val="0"/>
                <w:lang w:val="id-ID"/>
                <w14:ligatures w14:val="none"/>
              </w:rPr>
              <w:t>Kota Surabaya</w:t>
            </w:r>
          </w:p>
        </w:tc>
        <w:tc>
          <w:tcPr>
            <w:tcW w:w="1710" w:type="dxa"/>
            <w:tcBorders>
              <w:top w:val="nil"/>
              <w:left w:val="nil"/>
              <w:bottom w:val="single" w:sz="4" w:space="0" w:color="auto"/>
              <w:right w:val="single" w:sz="4" w:space="0" w:color="auto"/>
            </w:tcBorders>
            <w:shd w:val="clear" w:color="auto" w:fill="auto"/>
            <w:noWrap/>
            <w:vAlign w:val="bottom"/>
            <w:hideMark/>
          </w:tcPr>
          <w:p w14:paraId="308522FF" w14:textId="77777777" w:rsidR="00F434D5" w:rsidRPr="00065580" w:rsidRDefault="00F434D5" w:rsidP="003D0710">
            <w:pPr>
              <w:spacing w:after="0"/>
              <w:jc w:val="center"/>
              <w:rPr>
                <w:rFonts w:ascii="Cambria" w:eastAsia="Times New Roman" w:hAnsi="Cambria" w:cs="Calibri"/>
                <w:color w:val="000000"/>
                <w:kern w:val="0"/>
                <w14:ligatures w14:val="none"/>
              </w:rPr>
            </w:pPr>
            <w:r w:rsidRPr="00065580">
              <w:rPr>
                <w:rFonts w:ascii="Cambria" w:eastAsia="Times New Roman" w:hAnsi="Cambria" w:cs="Calibri"/>
                <w:color w:val="000000"/>
                <w:kern w:val="0"/>
                <w14:ligatures w14:val="none"/>
              </w:rPr>
              <w:t>60</w:t>
            </w:r>
            <w:r>
              <w:rPr>
                <w:rFonts w:ascii="Cambria" w:eastAsia="Times New Roman" w:hAnsi="Cambria" w:cs="Calibri"/>
                <w:color w:val="000000"/>
                <w:kern w:val="0"/>
                <w14:ligatures w14:val="none"/>
              </w:rPr>
              <w:t>,</w:t>
            </w:r>
            <w:r w:rsidRPr="00065580">
              <w:rPr>
                <w:rFonts w:ascii="Cambria" w:eastAsia="Times New Roman" w:hAnsi="Cambria" w:cs="Calibri"/>
                <w:color w:val="000000"/>
                <w:kern w:val="0"/>
                <w14:ligatures w14:val="none"/>
              </w:rPr>
              <w:t>6</w:t>
            </w:r>
          </w:p>
        </w:tc>
        <w:tc>
          <w:tcPr>
            <w:tcW w:w="1980" w:type="dxa"/>
            <w:tcBorders>
              <w:top w:val="nil"/>
              <w:left w:val="nil"/>
              <w:bottom w:val="single" w:sz="4" w:space="0" w:color="auto"/>
              <w:right w:val="single" w:sz="4" w:space="0" w:color="auto"/>
            </w:tcBorders>
            <w:shd w:val="clear" w:color="auto" w:fill="auto"/>
            <w:noWrap/>
            <w:vAlign w:val="bottom"/>
            <w:hideMark/>
          </w:tcPr>
          <w:p w14:paraId="7E9C6AB2" w14:textId="77777777" w:rsidR="00F434D5" w:rsidRPr="00065580" w:rsidRDefault="00F434D5" w:rsidP="003D0710">
            <w:pPr>
              <w:spacing w:after="0"/>
              <w:jc w:val="center"/>
              <w:rPr>
                <w:rFonts w:ascii="Cambria" w:eastAsia="Times New Roman" w:hAnsi="Cambria" w:cs="Calibri"/>
                <w:color w:val="000000"/>
                <w:kern w:val="0"/>
                <w14:ligatures w14:val="none"/>
              </w:rPr>
            </w:pPr>
            <w:r w:rsidRPr="00065580">
              <w:rPr>
                <w:rFonts w:ascii="Cambria" w:eastAsia="Times New Roman" w:hAnsi="Cambria" w:cs="Calibri"/>
                <w:color w:val="000000"/>
                <w:kern w:val="0"/>
                <w14:ligatures w14:val="none"/>
              </w:rPr>
              <w:t>60</w:t>
            </w:r>
            <w:r>
              <w:rPr>
                <w:rFonts w:ascii="Cambria" w:eastAsia="Times New Roman" w:hAnsi="Cambria" w:cs="Calibri"/>
                <w:color w:val="000000"/>
                <w:kern w:val="0"/>
                <w14:ligatures w14:val="none"/>
              </w:rPr>
              <w:t>,</w:t>
            </w:r>
            <w:r w:rsidRPr="00065580">
              <w:rPr>
                <w:rFonts w:ascii="Cambria" w:eastAsia="Times New Roman" w:hAnsi="Cambria" w:cs="Calibri"/>
                <w:color w:val="000000"/>
                <w:kern w:val="0"/>
                <w14:ligatures w14:val="none"/>
              </w:rPr>
              <w:t>1</w:t>
            </w:r>
          </w:p>
        </w:tc>
      </w:tr>
      <w:tr w:rsidR="00F434D5" w:rsidRPr="00065580" w14:paraId="27C738E0" w14:textId="77777777" w:rsidTr="00F90E46">
        <w:trPr>
          <w:trHeight w:val="320"/>
          <w:jc w:val="center"/>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57197669" w14:textId="77777777" w:rsidR="00F434D5" w:rsidRPr="00065580" w:rsidRDefault="00F434D5" w:rsidP="003D0710">
            <w:pPr>
              <w:spacing w:after="0"/>
              <w:rPr>
                <w:rFonts w:ascii="Cambria" w:eastAsia="Times New Roman" w:hAnsi="Cambria" w:cs="Calibri"/>
                <w:color w:val="000000"/>
                <w:kern w:val="0"/>
                <w14:ligatures w14:val="none"/>
              </w:rPr>
            </w:pPr>
            <w:r w:rsidRPr="00065580">
              <w:rPr>
                <w:rFonts w:ascii="Cambria" w:eastAsia="Times New Roman" w:hAnsi="Cambria" w:cs="Calibri"/>
                <w:color w:val="000000"/>
                <w:kern w:val="0"/>
                <w:lang w:val="id-ID"/>
                <w14:ligatures w14:val="none"/>
              </w:rPr>
              <w:t>Kabupaten Gianyar</w:t>
            </w:r>
          </w:p>
        </w:tc>
        <w:tc>
          <w:tcPr>
            <w:tcW w:w="1710" w:type="dxa"/>
            <w:tcBorders>
              <w:top w:val="nil"/>
              <w:left w:val="nil"/>
              <w:bottom w:val="single" w:sz="4" w:space="0" w:color="auto"/>
              <w:right w:val="single" w:sz="4" w:space="0" w:color="auto"/>
            </w:tcBorders>
            <w:shd w:val="clear" w:color="auto" w:fill="auto"/>
            <w:noWrap/>
            <w:vAlign w:val="bottom"/>
            <w:hideMark/>
          </w:tcPr>
          <w:p w14:paraId="06E07077" w14:textId="77777777" w:rsidR="00F434D5" w:rsidRPr="00065580" w:rsidRDefault="00F434D5" w:rsidP="003D0710">
            <w:pPr>
              <w:spacing w:after="0"/>
              <w:jc w:val="center"/>
              <w:rPr>
                <w:rFonts w:ascii="Cambria" w:eastAsia="Times New Roman" w:hAnsi="Cambria" w:cs="Calibri"/>
                <w:color w:val="000000"/>
                <w:kern w:val="0"/>
                <w14:ligatures w14:val="none"/>
              </w:rPr>
            </w:pPr>
            <w:r w:rsidRPr="00065580">
              <w:rPr>
                <w:rFonts w:ascii="Cambria" w:eastAsia="Times New Roman" w:hAnsi="Cambria" w:cs="Calibri"/>
                <w:color w:val="000000"/>
                <w:kern w:val="0"/>
                <w14:ligatures w14:val="none"/>
              </w:rPr>
              <w:t>56</w:t>
            </w:r>
            <w:r>
              <w:rPr>
                <w:rFonts w:ascii="Cambria" w:eastAsia="Times New Roman" w:hAnsi="Cambria" w:cs="Calibri"/>
                <w:color w:val="000000"/>
                <w:kern w:val="0"/>
                <w14:ligatures w14:val="none"/>
              </w:rPr>
              <w:t>,</w:t>
            </w:r>
            <w:r w:rsidRPr="00065580">
              <w:rPr>
                <w:rFonts w:ascii="Cambria" w:eastAsia="Times New Roman" w:hAnsi="Cambria" w:cs="Calibri"/>
                <w:color w:val="000000"/>
                <w:kern w:val="0"/>
                <w14:ligatures w14:val="none"/>
              </w:rPr>
              <w:t>6</w:t>
            </w:r>
          </w:p>
        </w:tc>
        <w:tc>
          <w:tcPr>
            <w:tcW w:w="1980" w:type="dxa"/>
            <w:tcBorders>
              <w:top w:val="nil"/>
              <w:left w:val="nil"/>
              <w:bottom w:val="single" w:sz="4" w:space="0" w:color="auto"/>
              <w:right w:val="single" w:sz="4" w:space="0" w:color="auto"/>
            </w:tcBorders>
            <w:shd w:val="clear" w:color="auto" w:fill="auto"/>
            <w:noWrap/>
            <w:vAlign w:val="bottom"/>
            <w:hideMark/>
          </w:tcPr>
          <w:p w14:paraId="6B47424B" w14:textId="77777777" w:rsidR="00F434D5" w:rsidRPr="00065580" w:rsidRDefault="00F434D5" w:rsidP="003D0710">
            <w:pPr>
              <w:spacing w:after="0"/>
              <w:jc w:val="center"/>
              <w:rPr>
                <w:rFonts w:ascii="Cambria" w:eastAsia="Times New Roman" w:hAnsi="Cambria" w:cs="Calibri"/>
                <w:color w:val="000000"/>
                <w:kern w:val="0"/>
                <w14:ligatures w14:val="none"/>
              </w:rPr>
            </w:pPr>
            <w:r w:rsidRPr="00065580">
              <w:rPr>
                <w:rFonts w:ascii="Cambria" w:eastAsia="Times New Roman" w:hAnsi="Cambria" w:cs="Calibri"/>
                <w:color w:val="000000"/>
                <w:kern w:val="0"/>
                <w14:ligatures w14:val="none"/>
              </w:rPr>
              <w:t>58</w:t>
            </w:r>
            <w:r>
              <w:rPr>
                <w:rFonts w:ascii="Cambria" w:eastAsia="Times New Roman" w:hAnsi="Cambria" w:cs="Calibri"/>
                <w:color w:val="000000"/>
                <w:kern w:val="0"/>
                <w14:ligatures w14:val="none"/>
              </w:rPr>
              <w:t>,</w:t>
            </w:r>
            <w:r w:rsidRPr="00065580">
              <w:rPr>
                <w:rFonts w:ascii="Cambria" w:eastAsia="Times New Roman" w:hAnsi="Cambria" w:cs="Calibri"/>
                <w:color w:val="000000"/>
                <w:kern w:val="0"/>
                <w14:ligatures w14:val="none"/>
              </w:rPr>
              <w:t>5</w:t>
            </w:r>
          </w:p>
        </w:tc>
      </w:tr>
      <w:tr w:rsidR="00F434D5" w:rsidRPr="00065580" w14:paraId="35B07514" w14:textId="77777777" w:rsidTr="00F90E46">
        <w:trPr>
          <w:trHeight w:val="320"/>
          <w:jc w:val="center"/>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20DDA625" w14:textId="77777777" w:rsidR="00F434D5" w:rsidRPr="00065580" w:rsidRDefault="00F434D5" w:rsidP="003D0710">
            <w:pPr>
              <w:spacing w:after="0"/>
              <w:rPr>
                <w:rFonts w:ascii="Cambria" w:eastAsia="Times New Roman" w:hAnsi="Cambria" w:cs="Calibri"/>
                <w:color w:val="000000"/>
                <w:kern w:val="0"/>
                <w14:ligatures w14:val="none"/>
              </w:rPr>
            </w:pPr>
            <w:r w:rsidRPr="00065580">
              <w:rPr>
                <w:rFonts w:ascii="Cambria" w:eastAsia="Times New Roman" w:hAnsi="Cambria" w:cs="Calibri"/>
                <w:color w:val="000000"/>
                <w:kern w:val="0"/>
                <w:lang w:val="id-ID"/>
                <w14:ligatures w14:val="none"/>
              </w:rPr>
              <w:t>Kota Semarang</w:t>
            </w:r>
          </w:p>
        </w:tc>
        <w:tc>
          <w:tcPr>
            <w:tcW w:w="1710" w:type="dxa"/>
            <w:tcBorders>
              <w:top w:val="nil"/>
              <w:left w:val="nil"/>
              <w:bottom w:val="single" w:sz="4" w:space="0" w:color="auto"/>
              <w:right w:val="single" w:sz="4" w:space="0" w:color="auto"/>
            </w:tcBorders>
            <w:shd w:val="clear" w:color="auto" w:fill="auto"/>
            <w:noWrap/>
            <w:vAlign w:val="bottom"/>
            <w:hideMark/>
          </w:tcPr>
          <w:p w14:paraId="723B98D4" w14:textId="77777777" w:rsidR="00F434D5" w:rsidRPr="00065580" w:rsidRDefault="00F434D5" w:rsidP="003D0710">
            <w:pPr>
              <w:spacing w:after="0"/>
              <w:jc w:val="center"/>
              <w:rPr>
                <w:rFonts w:ascii="Cambria" w:eastAsia="Times New Roman" w:hAnsi="Cambria" w:cs="Calibri"/>
                <w:color w:val="000000"/>
                <w:kern w:val="0"/>
                <w14:ligatures w14:val="none"/>
              </w:rPr>
            </w:pPr>
            <w:r w:rsidRPr="00065580">
              <w:rPr>
                <w:rFonts w:ascii="Cambria" w:eastAsia="Times New Roman" w:hAnsi="Cambria" w:cs="Calibri"/>
                <w:color w:val="000000"/>
                <w:kern w:val="0"/>
                <w14:ligatures w14:val="none"/>
              </w:rPr>
              <w:t>54</w:t>
            </w:r>
            <w:r>
              <w:rPr>
                <w:rFonts w:ascii="Cambria" w:eastAsia="Times New Roman" w:hAnsi="Cambria" w:cs="Calibri"/>
                <w:color w:val="000000"/>
                <w:kern w:val="0"/>
                <w14:ligatures w14:val="none"/>
              </w:rPr>
              <w:t>,</w:t>
            </w:r>
            <w:r w:rsidRPr="00065580">
              <w:rPr>
                <w:rFonts w:ascii="Cambria" w:eastAsia="Times New Roman" w:hAnsi="Cambria" w:cs="Calibri"/>
                <w:color w:val="000000"/>
                <w:kern w:val="0"/>
                <w14:ligatures w14:val="none"/>
              </w:rPr>
              <w:t>1</w:t>
            </w:r>
          </w:p>
        </w:tc>
        <w:tc>
          <w:tcPr>
            <w:tcW w:w="1980" w:type="dxa"/>
            <w:tcBorders>
              <w:top w:val="nil"/>
              <w:left w:val="nil"/>
              <w:bottom w:val="single" w:sz="4" w:space="0" w:color="auto"/>
              <w:right w:val="single" w:sz="4" w:space="0" w:color="auto"/>
            </w:tcBorders>
            <w:shd w:val="clear" w:color="auto" w:fill="auto"/>
            <w:noWrap/>
            <w:vAlign w:val="bottom"/>
            <w:hideMark/>
          </w:tcPr>
          <w:p w14:paraId="7362F07A" w14:textId="77777777" w:rsidR="00F434D5" w:rsidRPr="00065580" w:rsidRDefault="00F434D5" w:rsidP="003D0710">
            <w:pPr>
              <w:spacing w:after="0"/>
              <w:jc w:val="center"/>
              <w:rPr>
                <w:rFonts w:ascii="Cambria" w:eastAsia="Times New Roman" w:hAnsi="Cambria" w:cs="Calibri"/>
                <w:color w:val="000000"/>
                <w:kern w:val="0"/>
                <w14:ligatures w14:val="none"/>
              </w:rPr>
            </w:pPr>
            <w:r w:rsidRPr="00065580">
              <w:rPr>
                <w:rFonts w:ascii="Cambria" w:eastAsia="Times New Roman" w:hAnsi="Cambria" w:cs="Calibri"/>
                <w:color w:val="000000"/>
                <w:kern w:val="0"/>
                <w14:ligatures w14:val="none"/>
              </w:rPr>
              <w:t>53</w:t>
            </w:r>
            <w:r>
              <w:rPr>
                <w:rFonts w:ascii="Cambria" w:eastAsia="Times New Roman" w:hAnsi="Cambria" w:cs="Calibri"/>
                <w:color w:val="000000"/>
                <w:kern w:val="0"/>
                <w14:ligatures w14:val="none"/>
              </w:rPr>
              <w:t>,</w:t>
            </w:r>
            <w:r w:rsidRPr="00065580">
              <w:rPr>
                <w:rFonts w:ascii="Cambria" w:eastAsia="Times New Roman" w:hAnsi="Cambria" w:cs="Calibri"/>
                <w:color w:val="000000"/>
                <w:kern w:val="0"/>
                <w14:ligatures w14:val="none"/>
              </w:rPr>
              <w:t>0</w:t>
            </w:r>
          </w:p>
        </w:tc>
      </w:tr>
      <w:tr w:rsidR="00F434D5" w:rsidRPr="00065580" w14:paraId="2C0A3B67" w14:textId="77777777" w:rsidTr="00F90E46">
        <w:trPr>
          <w:trHeight w:val="320"/>
          <w:jc w:val="center"/>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4D884460" w14:textId="77777777" w:rsidR="00F434D5" w:rsidRPr="00065580" w:rsidRDefault="00F434D5" w:rsidP="003D0710">
            <w:pPr>
              <w:spacing w:after="0"/>
              <w:rPr>
                <w:rFonts w:ascii="Cambria" w:eastAsia="Times New Roman" w:hAnsi="Cambria" w:cs="Calibri"/>
                <w:color w:val="000000"/>
                <w:kern w:val="0"/>
                <w14:ligatures w14:val="none"/>
              </w:rPr>
            </w:pPr>
            <w:r w:rsidRPr="00065580">
              <w:rPr>
                <w:rFonts w:ascii="Cambria" w:eastAsia="Times New Roman" w:hAnsi="Cambria" w:cs="Calibri"/>
                <w:color w:val="000000"/>
                <w:kern w:val="0"/>
                <w:lang w:val="id-ID"/>
                <w14:ligatures w14:val="none"/>
              </w:rPr>
              <w:t>Kabupaten Tangerang</w:t>
            </w:r>
          </w:p>
        </w:tc>
        <w:tc>
          <w:tcPr>
            <w:tcW w:w="1710" w:type="dxa"/>
            <w:tcBorders>
              <w:top w:val="nil"/>
              <w:left w:val="nil"/>
              <w:bottom w:val="single" w:sz="4" w:space="0" w:color="auto"/>
              <w:right w:val="single" w:sz="4" w:space="0" w:color="auto"/>
            </w:tcBorders>
            <w:shd w:val="clear" w:color="auto" w:fill="auto"/>
            <w:noWrap/>
            <w:vAlign w:val="bottom"/>
            <w:hideMark/>
          </w:tcPr>
          <w:p w14:paraId="7FB3F4FB" w14:textId="77777777" w:rsidR="00F434D5" w:rsidRPr="00065580" w:rsidRDefault="00F434D5" w:rsidP="003D0710">
            <w:pPr>
              <w:spacing w:after="0"/>
              <w:jc w:val="center"/>
              <w:rPr>
                <w:rFonts w:ascii="Cambria" w:eastAsia="Times New Roman" w:hAnsi="Cambria" w:cs="Calibri"/>
                <w:color w:val="000000"/>
                <w:kern w:val="0"/>
                <w14:ligatures w14:val="none"/>
              </w:rPr>
            </w:pPr>
            <w:r w:rsidRPr="00065580">
              <w:rPr>
                <w:rFonts w:ascii="Cambria" w:eastAsia="Times New Roman" w:hAnsi="Cambria" w:cs="Calibri"/>
                <w:color w:val="000000"/>
                <w:kern w:val="0"/>
                <w14:ligatures w14:val="none"/>
              </w:rPr>
              <w:t>53</w:t>
            </w:r>
            <w:r>
              <w:rPr>
                <w:rFonts w:ascii="Cambria" w:eastAsia="Times New Roman" w:hAnsi="Cambria" w:cs="Calibri"/>
                <w:color w:val="000000"/>
                <w:kern w:val="0"/>
                <w14:ligatures w14:val="none"/>
              </w:rPr>
              <w:t>,</w:t>
            </w:r>
            <w:r w:rsidRPr="00065580">
              <w:rPr>
                <w:rFonts w:ascii="Cambria" w:eastAsia="Times New Roman" w:hAnsi="Cambria" w:cs="Calibri"/>
                <w:color w:val="000000"/>
                <w:kern w:val="0"/>
                <w14:ligatures w14:val="none"/>
              </w:rPr>
              <w:t>8</w:t>
            </w:r>
          </w:p>
        </w:tc>
        <w:tc>
          <w:tcPr>
            <w:tcW w:w="1980" w:type="dxa"/>
            <w:tcBorders>
              <w:top w:val="nil"/>
              <w:left w:val="nil"/>
              <w:bottom w:val="single" w:sz="4" w:space="0" w:color="auto"/>
              <w:right w:val="single" w:sz="4" w:space="0" w:color="auto"/>
            </w:tcBorders>
            <w:shd w:val="clear" w:color="auto" w:fill="auto"/>
            <w:noWrap/>
            <w:vAlign w:val="bottom"/>
            <w:hideMark/>
          </w:tcPr>
          <w:p w14:paraId="35CA46C8" w14:textId="77777777" w:rsidR="00F434D5" w:rsidRPr="00065580" w:rsidRDefault="00F434D5" w:rsidP="003D0710">
            <w:pPr>
              <w:spacing w:after="0"/>
              <w:jc w:val="center"/>
              <w:rPr>
                <w:rFonts w:ascii="Cambria" w:eastAsia="Times New Roman" w:hAnsi="Cambria" w:cs="Calibri"/>
                <w:color w:val="000000"/>
                <w:kern w:val="0"/>
                <w14:ligatures w14:val="none"/>
              </w:rPr>
            </w:pPr>
            <w:r w:rsidRPr="00065580">
              <w:rPr>
                <w:rFonts w:ascii="Cambria" w:eastAsia="Times New Roman" w:hAnsi="Cambria" w:cs="Calibri"/>
                <w:color w:val="000000"/>
                <w:kern w:val="0"/>
                <w14:ligatures w14:val="none"/>
              </w:rPr>
              <w:t>55</w:t>
            </w:r>
            <w:r>
              <w:rPr>
                <w:rFonts w:ascii="Cambria" w:eastAsia="Times New Roman" w:hAnsi="Cambria" w:cs="Calibri"/>
                <w:color w:val="000000"/>
                <w:kern w:val="0"/>
                <w14:ligatures w14:val="none"/>
              </w:rPr>
              <w:t>,</w:t>
            </w:r>
            <w:r w:rsidRPr="00065580">
              <w:rPr>
                <w:rFonts w:ascii="Cambria" w:eastAsia="Times New Roman" w:hAnsi="Cambria" w:cs="Calibri"/>
                <w:color w:val="000000"/>
                <w:kern w:val="0"/>
                <w14:ligatures w14:val="none"/>
              </w:rPr>
              <w:t>2</w:t>
            </w:r>
          </w:p>
        </w:tc>
      </w:tr>
      <w:tr w:rsidR="00F434D5" w:rsidRPr="00065580" w14:paraId="294CDA4B" w14:textId="77777777" w:rsidTr="00F90E46">
        <w:trPr>
          <w:trHeight w:val="320"/>
          <w:jc w:val="center"/>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1F95A29B" w14:textId="77777777" w:rsidR="00F434D5" w:rsidRPr="00065580" w:rsidRDefault="00F434D5" w:rsidP="003D0710">
            <w:pPr>
              <w:spacing w:after="0"/>
              <w:rPr>
                <w:rFonts w:ascii="Cambria" w:eastAsia="Times New Roman" w:hAnsi="Cambria" w:cs="Calibri"/>
                <w:color w:val="000000"/>
                <w:kern w:val="0"/>
                <w14:ligatures w14:val="none"/>
              </w:rPr>
            </w:pPr>
            <w:r w:rsidRPr="00065580">
              <w:rPr>
                <w:rFonts w:ascii="Cambria" w:eastAsia="Times New Roman" w:hAnsi="Cambria" w:cs="Calibri"/>
                <w:color w:val="000000"/>
                <w:kern w:val="0"/>
                <w:lang w:val="id-ID"/>
                <w14:ligatures w14:val="none"/>
              </w:rPr>
              <w:t>Kota Denpasar</w:t>
            </w:r>
          </w:p>
        </w:tc>
        <w:tc>
          <w:tcPr>
            <w:tcW w:w="1710" w:type="dxa"/>
            <w:tcBorders>
              <w:top w:val="nil"/>
              <w:left w:val="nil"/>
              <w:bottom w:val="single" w:sz="4" w:space="0" w:color="auto"/>
              <w:right w:val="single" w:sz="4" w:space="0" w:color="auto"/>
            </w:tcBorders>
            <w:shd w:val="clear" w:color="auto" w:fill="auto"/>
            <w:noWrap/>
            <w:vAlign w:val="bottom"/>
            <w:hideMark/>
          </w:tcPr>
          <w:p w14:paraId="4A8BD306" w14:textId="77777777" w:rsidR="00F434D5" w:rsidRPr="00065580" w:rsidRDefault="00F434D5" w:rsidP="003D0710">
            <w:pPr>
              <w:spacing w:after="0"/>
              <w:jc w:val="center"/>
              <w:rPr>
                <w:rFonts w:ascii="Cambria" w:eastAsia="Times New Roman" w:hAnsi="Cambria" w:cs="Calibri"/>
                <w:color w:val="000000"/>
                <w:kern w:val="0"/>
                <w14:ligatures w14:val="none"/>
              </w:rPr>
            </w:pPr>
            <w:r w:rsidRPr="00065580">
              <w:rPr>
                <w:rFonts w:ascii="Cambria" w:eastAsia="Times New Roman" w:hAnsi="Cambria" w:cs="Calibri"/>
                <w:color w:val="000000"/>
                <w:kern w:val="0"/>
                <w14:ligatures w14:val="none"/>
              </w:rPr>
              <w:t>53</w:t>
            </w:r>
            <w:r>
              <w:rPr>
                <w:rFonts w:ascii="Cambria" w:eastAsia="Times New Roman" w:hAnsi="Cambria" w:cs="Calibri"/>
                <w:color w:val="000000"/>
                <w:kern w:val="0"/>
                <w14:ligatures w14:val="none"/>
              </w:rPr>
              <w:t>,</w:t>
            </w:r>
            <w:r w:rsidRPr="00065580">
              <w:rPr>
                <w:rFonts w:ascii="Cambria" w:eastAsia="Times New Roman" w:hAnsi="Cambria" w:cs="Calibri"/>
                <w:color w:val="000000"/>
                <w:kern w:val="0"/>
                <w14:ligatures w14:val="none"/>
              </w:rPr>
              <w:t>7</w:t>
            </w:r>
          </w:p>
        </w:tc>
        <w:tc>
          <w:tcPr>
            <w:tcW w:w="1980" w:type="dxa"/>
            <w:tcBorders>
              <w:top w:val="nil"/>
              <w:left w:val="nil"/>
              <w:bottom w:val="single" w:sz="4" w:space="0" w:color="auto"/>
              <w:right w:val="single" w:sz="4" w:space="0" w:color="auto"/>
            </w:tcBorders>
            <w:shd w:val="clear" w:color="auto" w:fill="auto"/>
            <w:noWrap/>
            <w:vAlign w:val="bottom"/>
            <w:hideMark/>
          </w:tcPr>
          <w:p w14:paraId="712B684A" w14:textId="77777777" w:rsidR="00F434D5" w:rsidRPr="00065580" w:rsidRDefault="00F434D5" w:rsidP="003D0710">
            <w:pPr>
              <w:spacing w:after="0"/>
              <w:jc w:val="center"/>
              <w:rPr>
                <w:rFonts w:ascii="Cambria" w:eastAsia="Times New Roman" w:hAnsi="Cambria" w:cs="Calibri"/>
                <w:color w:val="000000"/>
                <w:kern w:val="0"/>
                <w14:ligatures w14:val="none"/>
              </w:rPr>
            </w:pPr>
            <w:r w:rsidRPr="00065580">
              <w:rPr>
                <w:rFonts w:ascii="Cambria" w:eastAsia="Times New Roman" w:hAnsi="Cambria" w:cs="Calibri"/>
                <w:color w:val="000000"/>
                <w:kern w:val="0"/>
                <w14:ligatures w14:val="none"/>
              </w:rPr>
              <w:t>48</w:t>
            </w:r>
            <w:r>
              <w:rPr>
                <w:rFonts w:ascii="Cambria" w:eastAsia="Times New Roman" w:hAnsi="Cambria" w:cs="Calibri"/>
                <w:color w:val="000000"/>
                <w:kern w:val="0"/>
                <w14:ligatures w14:val="none"/>
              </w:rPr>
              <w:t>,</w:t>
            </w:r>
            <w:r w:rsidRPr="00065580">
              <w:rPr>
                <w:rFonts w:ascii="Cambria" w:eastAsia="Times New Roman" w:hAnsi="Cambria" w:cs="Calibri"/>
                <w:color w:val="000000"/>
                <w:kern w:val="0"/>
                <w14:ligatures w14:val="none"/>
              </w:rPr>
              <w:t>1</w:t>
            </w:r>
          </w:p>
        </w:tc>
      </w:tr>
      <w:tr w:rsidR="00F434D5" w:rsidRPr="00065580" w14:paraId="1EAEC240" w14:textId="77777777" w:rsidTr="00F90E46">
        <w:trPr>
          <w:trHeight w:val="320"/>
          <w:jc w:val="center"/>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045F2905" w14:textId="77777777" w:rsidR="00F434D5" w:rsidRPr="00065580" w:rsidRDefault="00F434D5" w:rsidP="003D0710">
            <w:pPr>
              <w:spacing w:after="0"/>
              <w:rPr>
                <w:rFonts w:ascii="Cambria" w:eastAsia="Times New Roman" w:hAnsi="Cambria" w:cs="Calibri"/>
                <w:color w:val="000000"/>
                <w:kern w:val="0"/>
                <w14:ligatures w14:val="none"/>
              </w:rPr>
            </w:pPr>
            <w:r w:rsidRPr="00065580">
              <w:rPr>
                <w:rFonts w:ascii="Cambria" w:eastAsia="Times New Roman" w:hAnsi="Cambria" w:cs="Calibri"/>
                <w:color w:val="000000"/>
                <w:kern w:val="0"/>
                <w:lang w:val="id-ID"/>
                <w14:ligatures w14:val="none"/>
              </w:rPr>
              <w:t>Kota Tangerang Selatan</w:t>
            </w:r>
          </w:p>
        </w:tc>
        <w:tc>
          <w:tcPr>
            <w:tcW w:w="1710" w:type="dxa"/>
            <w:tcBorders>
              <w:top w:val="nil"/>
              <w:left w:val="nil"/>
              <w:bottom w:val="single" w:sz="4" w:space="0" w:color="auto"/>
              <w:right w:val="single" w:sz="4" w:space="0" w:color="auto"/>
            </w:tcBorders>
            <w:shd w:val="clear" w:color="auto" w:fill="auto"/>
            <w:noWrap/>
            <w:vAlign w:val="bottom"/>
            <w:hideMark/>
          </w:tcPr>
          <w:p w14:paraId="51B55A04" w14:textId="77777777" w:rsidR="00F434D5" w:rsidRPr="00065580" w:rsidRDefault="00F434D5" w:rsidP="003D0710">
            <w:pPr>
              <w:spacing w:after="0"/>
              <w:jc w:val="center"/>
              <w:rPr>
                <w:rFonts w:ascii="Cambria" w:eastAsia="Times New Roman" w:hAnsi="Cambria" w:cs="Calibri"/>
                <w:color w:val="000000"/>
                <w:kern w:val="0"/>
                <w14:ligatures w14:val="none"/>
              </w:rPr>
            </w:pPr>
            <w:r w:rsidRPr="00065580">
              <w:rPr>
                <w:rFonts w:ascii="Cambria" w:eastAsia="Times New Roman" w:hAnsi="Cambria" w:cs="Calibri"/>
                <w:color w:val="000000"/>
                <w:kern w:val="0"/>
                <w14:ligatures w14:val="none"/>
              </w:rPr>
              <w:t>52</w:t>
            </w:r>
            <w:r>
              <w:rPr>
                <w:rFonts w:ascii="Cambria" w:eastAsia="Times New Roman" w:hAnsi="Cambria" w:cs="Calibri"/>
                <w:color w:val="000000"/>
                <w:kern w:val="0"/>
                <w14:ligatures w14:val="none"/>
              </w:rPr>
              <w:t>,</w:t>
            </w:r>
            <w:r w:rsidRPr="00065580">
              <w:rPr>
                <w:rFonts w:ascii="Cambria" w:eastAsia="Times New Roman" w:hAnsi="Cambria" w:cs="Calibri"/>
                <w:color w:val="000000"/>
                <w:kern w:val="0"/>
                <w14:ligatures w14:val="none"/>
              </w:rPr>
              <w:t>2</w:t>
            </w:r>
          </w:p>
        </w:tc>
        <w:tc>
          <w:tcPr>
            <w:tcW w:w="1980" w:type="dxa"/>
            <w:tcBorders>
              <w:top w:val="nil"/>
              <w:left w:val="nil"/>
              <w:bottom w:val="single" w:sz="4" w:space="0" w:color="auto"/>
              <w:right w:val="single" w:sz="4" w:space="0" w:color="auto"/>
            </w:tcBorders>
            <w:shd w:val="clear" w:color="auto" w:fill="auto"/>
            <w:noWrap/>
            <w:vAlign w:val="bottom"/>
            <w:hideMark/>
          </w:tcPr>
          <w:p w14:paraId="354B23F2" w14:textId="77777777" w:rsidR="00F434D5" w:rsidRPr="00065580" w:rsidRDefault="00F434D5" w:rsidP="003D0710">
            <w:pPr>
              <w:spacing w:after="0"/>
              <w:jc w:val="center"/>
              <w:rPr>
                <w:rFonts w:ascii="Cambria" w:eastAsia="Times New Roman" w:hAnsi="Cambria" w:cs="Calibri"/>
                <w:color w:val="000000"/>
                <w:kern w:val="0"/>
                <w14:ligatures w14:val="none"/>
              </w:rPr>
            </w:pPr>
            <w:r w:rsidRPr="00065580">
              <w:rPr>
                <w:rFonts w:ascii="Cambria" w:eastAsia="Times New Roman" w:hAnsi="Cambria" w:cs="Calibri"/>
                <w:color w:val="000000"/>
                <w:kern w:val="0"/>
                <w14:ligatures w14:val="none"/>
              </w:rPr>
              <w:t>52</w:t>
            </w:r>
            <w:r>
              <w:rPr>
                <w:rFonts w:ascii="Cambria" w:eastAsia="Times New Roman" w:hAnsi="Cambria" w:cs="Calibri"/>
                <w:color w:val="000000"/>
                <w:kern w:val="0"/>
                <w14:ligatures w14:val="none"/>
              </w:rPr>
              <w:t>,</w:t>
            </w:r>
            <w:r w:rsidRPr="00065580">
              <w:rPr>
                <w:rFonts w:ascii="Cambria" w:eastAsia="Times New Roman" w:hAnsi="Cambria" w:cs="Calibri"/>
                <w:color w:val="000000"/>
                <w:kern w:val="0"/>
                <w14:ligatures w14:val="none"/>
              </w:rPr>
              <w:t>4</w:t>
            </w:r>
          </w:p>
        </w:tc>
      </w:tr>
    </w:tbl>
    <w:p w14:paraId="315EC1BB" w14:textId="77777777" w:rsidR="00F434D5" w:rsidRDefault="00F434D5" w:rsidP="00F434D5">
      <w:pPr>
        <w:spacing w:after="0"/>
        <w:jc w:val="center"/>
        <w:rPr>
          <w:rFonts w:ascii="Cambria" w:hAnsi="Cambria"/>
          <w:lang w:val="id-ID"/>
        </w:rPr>
      </w:pPr>
    </w:p>
    <w:p w14:paraId="77895B33" w14:textId="3C0B9367" w:rsidR="00F434D5" w:rsidRPr="00F434D5" w:rsidRDefault="00F434D5" w:rsidP="00F90E46">
      <w:pPr>
        <w:spacing w:after="0"/>
        <w:jc w:val="center"/>
        <w:rPr>
          <w:rFonts w:ascii="Poppins" w:hAnsi="Poppins" w:cs="Poppins"/>
          <w:i/>
          <w:iCs/>
          <w:sz w:val="16"/>
          <w:szCs w:val="16"/>
          <w:lang w:val="id-ID"/>
        </w:rPr>
      </w:pPr>
      <w:r w:rsidRPr="00F434D5">
        <w:rPr>
          <w:rFonts w:ascii="Poppins" w:hAnsi="Poppins" w:cs="Poppins"/>
          <w:i/>
          <w:iCs/>
          <w:sz w:val="16"/>
          <w:szCs w:val="16"/>
          <w:lang w:val="id-ID"/>
        </w:rPr>
        <w:t>Sumber: NEXT Indonesia mengolah dari data Kementerian Keuangan.</w:t>
      </w:r>
    </w:p>
    <w:p w14:paraId="6B7CB886" w14:textId="77777777" w:rsidR="00F434D5" w:rsidRPr="00F434D5" w:rsidRDefault="00F434D5" w:rsidP="00F434D5">
      <w:pPr>
        <w:spacing w:before="100" w:beforeAutospacing="1" w:after="100" w:afterAutospacing="1" w:line="240" w:lineRule="auto"/>
        <w:jc w:val="both"/>
        <w:rPr>
          <w:rFonts w:ascii="Poppins" w:hAnsi="Poppins" w:cs="Poppins"/>
          <w:sz w:val="20"/>
          <w:szCs w:val="20"/>
          <w:lang w:val="id-ID"/>
        </w:rPr>
      </w:pPr>
      <w:r w:rsidRPr="00F434D5">
        <w:rPr>
          <w:rFonts w:ascii="Poppins" w:hAnsi="Poppins" w:cs="Poppins"/>
          <w:sz w:val="20"/>
          <w:szCs w:val="20"/>
          <w:lang w:val="id-ID"/>
        </w:rPr>
        <w:t>Kabupaten Badung di Provinsi Bali menjadi daerah yang paling mandiri di Indonesia, dengan indeks 87,8. Perekonomian Kabupaten Badung didominasi oleh pendapatan dari sektor pariwisata. Beberapa lokasi wisata ternama di Pulau Dewata, mulai dari Kuta hingga Nusa Dua, terletak di kabupaten seluas 418,6 km</w:t>
      </w:r>
      <w:r w:rsidRPr="00F434D5">
        <w:rPr>
          <w:rFonts w:ascii="Poppins" w:hAnsi="Poppins" w:cs="Poppins"/>
          <w:sz w:val="20"/>
          <w:szCs w:val="20"/>
          <w:vertAlign w:val="superscript"/>
          <w:lang w:val="id-ID"/>
        </w:rPr>
        <w:t>2</w:t>
      </w:r>
      <w:r w:rsidRPr="00F434D5">
        <w:rPr>
          <w:rFonts w:ascii="Poppins" w:hAnsi="Poppins" w:cs="Poppins"/>
          <w:sz w:val="20"/>
          <w:szCs w:val="20"/>
          <w:lang w:val="id-ID"/>
        </w:rPr>
        <w:t xml:space="preserve"> ini.</w:t>
      </w:r>
    </w:p>
    <w:p w14:paraId="2ABFD668" w14:textId="77777777" w:rsidR="00F434D5" w:rsidRPr="00F434D5" w:rsidRDefault="00F434D5" w:rsidP="00F434D5">
      <w:pPr>
        <w:spacing w:before="100" w:beforeAutospacing="1" w:after="100" w:afterAutospacing="1" w:line="240" w:lineRule="auto"/>
        <w:jc w:val="both"/>
        <w:rPr>
          <w:rFonts w:ascii="Poppins" w:hAnsi="Poppins" w:cs="Poppins"/>
          <w:sz w:val="20"/>
          <w:szCs w:val="20"/>
          <w:lang w:val="id-ID"/>
        </w:rPr>
      </w:pPr>
      <w:r w:rsidRPr="00F434D5">
        <w:rPr>
          <w:rFonts w:ascii="Poppins" w:hAnsi="Poppins" w:cs="Poppins"/>
          <w:sz w:val="20"/>
          <w:szCs w:val="20"/>
          <w:lang w:val="id-ID"/>
        </w:rPr>
        <w:t>Hotel, restoran, dan berbagai usaha yang terkait dengan pariwisata menjadi pendorong utama pertumbuhan ekonomi yang mencapai 11,3 persen pada tahun 2023, dua kali lipat dari pertumbuhan ekonomi nasional sebesar 5,05 persen pada tahun yang sama.</w:t>
      </w:r>
    </w:p>
    <w:p w14:paraId="1C9112A6" w14:textId="77777777" w:rsidR="00F434D5" w:rsidRPr="00F434D5" w:rsidRDefault="00F434D5" w:rsidP="00F434D5">
      <w:pPr>
        <w:spacing w:before="100" w:beforeAutospacing="1" w:after="100" w:afterAutospacing="1" w:line="240" w:lineRule="auto"/>
        <w:jc w:val="both"/>
        <w:rPr>
          <w:rFonts w:ascii="Poppins" w:hAnsi="Poppins" w:cs="Poppins"/>
          <w:sz w:val="20"/>
          <w:szCs w:val="20"/>
          <w:lang w:val="id-ID"/>
        </w:rPr>
      </w:pPr>
      <w:r w:rsidRPr="00F434D5">
        <w:rPr>
          <w:rFonts w:ascii="Poppins" w:hAnsi="Poppins" w:cs="Poppins"/>
          <w:sz w:val="20"/>
          <w:szCs w:val="20"/>
          <w:lang w:val="id-ID"/>
        </w:rPr>
        <w:t>Pendapatan asli daerah (PAD) Badung pada 2024 mencapai Rp6,5 triliun, naik 3,1 persen dari 2023 yang tercatat Rp6,3 triliun. Sementara kiriman dari pemerintah pusat dalam bentuk transfer ke daerah dan dana desa (TKDD) yang diterima menurun, dari Rp699 miliar pada 2023 menjadi Rp670 miliar di tahun 2024.</w:t>
      </w:r>
    </w:p>
    <w:p w14:paraId="04852CFF" w14:textId="77777777" w:rsidR="00F434D5" w:rsidRPr="00F434D5" w:rsidRDefault="00F434D5" w:rsidP="00F434D5">
      <w:pPr>
        <w:spacing w:before="100" w:beforeAutospacing="1" w:after="100" w:afterAutospacing="1" w:line="240" w:lineRule="auto"/>
        <w:jc w:val="both"/>
        <w:rPr>
          <w:rFonts w:ascii="Poppins" w:hAnsi="Poppins" w:cs="Poppins"/>
          <w:sz w:val="20"/>
          <w:szCs w:val="20"/>
          <w:lang w:val="id-ID"/>
        </w:rPr>
      </w:pPr>
      <w:r w:rsidRPr="00F434D5">
        <w:rPr>
          <w:rFonts w:ascii="Poppins" w:hAnsi="Poppins" w:cs="Poppins"/>
          <w:sz w:val="20"/>
          <w:szCs w:val="20"/>
          <w:lang w:val="id-ID"/>
        </w:rPr>
        <w:t>Sebanyak 413 hotel berbintang di kabupaten ini (data BPS 2023) membantu mengangkat penerimaan pajak daerah hingga Rp5,8 triliun pada 2024, naik dari Rp5,6 triliun di tahun sebelumnya.</w:t>
      </w:r>
    </w:p>
    <w:p w14:paraId="041BD914" w14:textId="77777777" w:rsidR="00F434D5" w:rsidRPr="00F434D5" w:rsidRDefault="00F434D5" w:rsidP="00F434D5">
      <w:pPr>
        <w:spacing w:before="100" w:beforeAutospacing="1" w:after="100" w:afterAutospacing="1" w:line="240" w:lineRule="auto"/>
        <w:jc w:val="both"/>
        <w:rPr>
          <w:rFonts w:ascii="Poppins" w:hAnsi="Poppins" w:cs="Poppins"/>
          <w:sz w:val="20"/>
          <w:szCs w:val="20"/>
          <w:lang w:val="id-ID"/>
        </w:rPr>
      </w:pPr>
      <w:r w:rsidRPr="00F434D5">
        <w:rPr>
          <w:rFonts w:ascii="Poppins" w:hAnsi="Poppins" w:cs="Poppins"/>
          <w:sz w:val="20"/>
          <w:szCs w:val="20"/>
          <w:lang w:val="id-ID"/>
        </w:rPr>
        <w:t>Sementara daerah-daerah yang masuk kategori “Belum Mandiri” jumlahnya ada 440 daerah, yang sebagian besar  berada di kawasan Indonesia timur. Dari 23 kabupaten/kota dengan IKF terendah, 16 di antaranya berlokasi di Pulau Papua.</w:t>
      </w:r>
    </w:p>
    <w:p w14:paraId="3B638EB6" w14:textId="77777777" w:rsidR="00F434D5" w:rsidRPr="00F434D5" w:rsidRDefault="00F434D5" w:rsidP="00F434D5">
      <w:pPr>
        <w:spacing w:before="100" w:beforeAutospacing="1" w:after="100" w:afterAutospacing="1" w:line="240" w:lineRule="auto"/>
        <w:jc w:val="both"/>
        <w:rPr>
          <w:rFonts w:ascii="Poppins" w:hAnsi="Poppins" w:cs="Poppins"/>
          <w:sz w:val="20"/>
          <w:szCs w:val="20"/>
          <w:lang w:val="id-ID"/>
        </w:rPr>
      </w:pPr>
      <w:r w:rsidRPr="00F434D5">
        <w:rPr>
          <w:rFonts w:ascii="Poppins" w:hAnsi="Poppins" w:cs="Poppins"/>
          <w:sz w:val="20"/>
          <w:szCs w:val="20"/>
          <w:lang w:val="id-ID"/>
        </w:rPr>
        <w:t xml:space="preserve">Jika 16 kabupaten/kota di Papua tersebut tidak dimasukkan dalam daftar, Kabupaten Halmahera Barat di Provinsi Maluku Utara tercatat menjadi daerah dengan tingkat kemandirian fiskal paling rendah. Pada 2024, hampir seluruh kebutuhan belanja daerah dipasok dari transfer pemerintah pusat. </w:t>
      </w:r>
    </w:p>
    <w:p w14:paraId="65A57B4D" w14:textId="77777777" w:rsidR="00106D0A" w:rsidRPr="00106D0A" w:rsidRDefault="00106D0A" w:rsidP="00106D0A">
      <w:pPr>
        <w:spacing w:before="100" w:beforeAutospacing="1" w:after="100" w:afterAutospacing="1" w:line="240" w:lineRule="auto"/>
        <w:jc w:val="center"/>
        <w:rPr>
          <w:rFonts w:ascii="Poppins" w:hAnsi="Poppins" w:cs="Poppins"/>
          <w:b/>
          <w:bCs/>
          <w:i/>
          <w:iCs/>
          <w:sz w:val="20"/>
          <w:szCs w:val="20"/>
          <w:lang w:val="id-ID"/>
        </w:rPr>
      </w:pPr>
    </w:p>
    <w:p w14:paraId="4BBD7B06" w14:textId="2AE3D9CF" w:rsidR="008309E6" w:rsidRPr="007E3513" w:rsidRDefault="003E6379" w:rsidP="007E3513">
      <w:pPr>
        <w:jc w:val="center"/>
        <w:rPr>
          <w:rFonts w:ascii="Poppins" w:eastAsia="Times New Roman" w:hAnsi="Poppins" w:cs="Poppins"/>
          <w:b/>
          <w:bCs/>
          <w:color w:val="000000"/>
          <w:kern w:val="0"/>
          <w:sz w:val="20"/>
          <w:szCs w:val="20"/>
          <w:lang w:val="id-ID"/>
          <w14:ligatures w14:val="none"/>
        </w:rPr>
      </w:pPr>
      <w:r w:rsidRPr="007E3513">
        <w:rPr>
          <w:rFonts w:ascii="Poppins" w:eastAsia="Times New Roman" w:hAnsi="Poppins" w:cs="Poppins"/>
          <w:b/>
          <w:bCs/>
          <w:color w:val="000000"/>
          <w:kern w:val="0"/>
          <w:sz w:val="20"/>
          <w:szCs w:val="20"/>
          <w:lang w:val="id-ID"/>
          <w14:ligatures w14:val="none"/>
        </w:rPr>
        <w:lastRenderedPageBreak/>
        <w:t xml:space="preserve">7 </w:t>
      </w:r>
      <w:r w:rsidR="008309E6" w:rsidRPr="007E3513">
        <w:rPr>
          <w:rFonts w:ascii="Poppins" w:eastAsia="Times New Roman" w:hAnsi="Poppins" w:cs="Poppins"/>
          <w:b/>
          <w:bCs/>
          <w:color w:val="000000"/>
          <w:kern w:val="0"/>
          <w:sz w:val="20"/>
          <w:szCs w:val="20"/>
          <w:lang w:val="id-ID"/>
          <w14:ligatures w14:val="none"/>
        </w:rPr>
        <w:t>Kabupaten/Kota dengan Indeks Kemandirian Fiskal Terendah</w:t>
      </w:r>
    </w:p>
    <w:tbl>
      <w:tblPr>
        <w:tblW w:w="6840" w:type="dxa"/>
        <w:jc w:val="center"/>
        <w:tblLook w:val="04A0" w:firstRow="1" w:lastRow="0" w:firstColumn="1" w:lastColumn="0" w:noHBand="0" w:noVBand="1"/>
      </w:tblPr>
      <w:tblGrid>
        <w:gridCol w:w="222"/>
        <w:gridCol w:w="3378"/>
        <w:gridCol w:w="1710"/>
        <w:gridCol w:w="1530"/>
      </w:tblGrid>
      <w:tr w:rsidR="008309E6" w:rsidRPr="00954E51" w14:paraId="703FB589" w14:textId="77777777" w:rsidTr="00F90E46">
        <w:trPr>
          <w:trHeight w:val="359"/>
          <w:jc w:val="center"/>
        </w:trPr>
        <w:tc>
          <w:tcPr>
            <w:tcW w:w="222" w:type="dxa"/>
            <w:tcBorders>
              <w:top w:val="nil"/>
              <w:left w:val="nil"/>
              <w:bottom w:val="nil"/>
              <w:right w:val="nil"/>
            </w:tcBorders>
            <w:shd w:val="clear" w:color="auto" w:fill="auto"/>
            <w:noWrap/>
            <w:vAlign w:val="bottom"/>
            <w:hideMark/>
          </w:tcPr>
          <w:p w14:paraId="3F255FCF" w14:textId="77777777" w:rsidR="008309E6" w:rsidRPr="00954E51" w:rsidRDefault="008309E6" w:rsidP="00D94CDA">
            <w:pPr>
              <w:spacing w:after="0" w:line="240" w:lineRule="auto"/>
              <w:rPr>
                <w:rFonts w:ascii="Cambria" w:eastAsia="Times New Roman" w:hAnsi="Cambria" w:cs="Times New Roman"/>
                <w:kern w:val="0"/>
                <w:lang w:val="id-ID"/>
                <w14:ligatures w14:val="none"/>
              </w:rPr>
            </w:pPr>
          </w:p>
        </w:tc>
        <w:tc>
          <w:tcPr>
            <w:tcW w:w="3378" w:type="dxa"/>
            <w:vMerge w:val="restart"/>
            <w:tcBorders>
              <w:top w:val="single" w:sz="4" w:space="0" w:color="auto"/>
              <w:left w:val="single" w:sz="4" w:space="0" w:color="auto"/>
              <w:right w:val="single" w:sz="4" w:space="0" w:color="auto"/>
            </w:tcBorders>
            <w:shd w:val="clear" w:color="auto" w:fill="auto"/>
            <w:vAlign w:val="center"/>
            <w:hideMark/>
          </w:tcPr>
          <w:p w14:paraId="17D95EBF" w14:textId="77777777" w:rsidR="008309E6" w:rsidRPr="00954E51" w:rsidRDefault="008309E6" w:rsidP="00D94CDA">
            <w:pPr>
              <w:spacing w:after="0" w:line="240" w:lineRule="auto"/>
              <w:jc w:val="center"/>
              <w:rPr>
                <w:rFonts w:ascii="Cambria" w:eastAsia="Times New Roman" w:hAnsi="Cambria" w:cs="Calibri"/>
                <w:b/>
                <w:bCs/>
                <w:color w:val="000000"/>
                <w:kern w:val="0"/>
                <w:lang w:val="id-ID"/>
                <w14:ligatures w14:val="none"/>
              </w:rPr>
            </w:pPr>
            <w:r w:rsidRPr="00954E51">
              <w:rPr>
                <w:rFonts w:ascii="Cambria" w:eastAsia="Times New Roman" w:hAnsi="Cambria" w:cs="Calibri"/>
                <w:b/>
                <w:bCs/>
                <w:color w:val="000000"/>
                <w:kern w:val="0"/>
                <w:lang w:val="id-ID"/>
                <w14:ligatures w14:val="none"/>
              </w:rPr>
              <w:t>Wilayah</w:t>
            </w:r>
          </w:p>
        </w:tc>
        <w:tc>
          <w:tcPr>
            <w:tcW w:w="3240" w:type="dxa"/>
            <w:gridSpan w:val="2"/>
            <w:tcBorders>
              <w:top w:val="single" w:sz="4" w:space="0" w:color="auto"/>
              <w:left w:val="nil"/>
              <w:bottom w:val="single" w:sz="4" w:space="0" w:color="auto"/>
              <w:right w:val="single" w:sz="4" w:space="0" w:color="auto"/>
            </w:tcBorders>
            <w:shd w:val="clear" w:color="auto" w:fill="auto"/>
            <w:vAlign w:val="center"/>
            <w:hideMark/>
          </w:tcPr>
          <w:p w14:paraId="09147100" w14:textId="77777777" w:rsidR="008309E6" w:rsidRPr="00954E51" w:rsidRDefault="008309E6" w:rsidP="00D94CDA">
            <w:pPr>
              <w:spacing w:after="0" w:line="240" w:lineRule="auto"/>
              <w:jc w:val="center"/>
              <w:rPr>
                <w:rFonts w:ascii="Cambria" w:eastAsia="Times New Roman" w:hAnsi="Cambria" w:cs="Calibri"/>
                <w:b/>
                <w:bCs/>
                <w:color w:val="000000"/>
                <w:kern w:val="0"/>
                <w:lang w:val="id-ID"/>
                <w14:ligatures w14:val="none"/>
              </w:rPr>
            </w:pPr>
            <w:r w:rsidRPr="00954E51">
              <w:rPr>
                <w:rFonts w:ascii="Cambria" w:eastAsia="Times New Roman" w:hAnsi="Cambria" w:cs="Calibri"/>
                <w:b/>
                <w:bCs/>
                <w:color w:val="000000"/>
                <w:kern w:val="0"/>
                <w:lang w:val="id-ID"/>
                <w14:ligatures w14:val="none"/>
              </w:rPr>
              <w:t xml:space="preserve">Indeks kemandirian Fiskal </w:t>
            </w:r>
          </w:p>
        </w:tc>
      </w:tr>
      <w:tr w:rsidR="008309E6" w:rsidRPr="00954E51" w14:paraId="1C54959D" w14:textId="77777777" w:rsidTr="00F90E46">
        <w:trPr>
          <w:trHeight w:val="161"/>
          <w:jc w:val="center"/>
        </w:trPr>
        <w:tc>
          <w:tcPr>
            <w:tcW w:w="222" w:type="dxa"/>
            <w:tcBorders>
              <w:top w:val="nil"/>
              <w:left w:val="nil"/>
              <w:bottom w:val="nil"/>
              <w:right w:val="nil"/>
            </w:tcBorders>
            <w:shd w:val="clear" w:color="auto" w:fill="auto"/>
            <w:noWrap/>
            <w:vAlign w:val="bottom"/>
          </w:tcPr>
          <w:p w14:paraId="57242CDF" w14:textId="77777777" w:rsidR="008309E6" w:rsidRPr="00954E51" w:rsidRDefault="008309E6" w:rsidP="00D94CDA">
            <w:pPr>
              <w:spacing w:after="0" w:line="240" w:lineRule="auto"/>
              <w:rPr>
                <w:rFonts w:ascii="Cambria" w:eastAsia="Times New Roman" w:hAnsi="Cambria" w:cs="Times New Roman"/>
                <w:kern w:val="0"/>
                <w:lang w:val="id-ID"/>
                <w14:ligatures w14:val="none"/>
              </w:rPr>
            </w:pPr>
          </w:p>
        </w:tc>
        <w:tc>
          <w:tcPr>
            <w:tcW w:w="3378" w:type="dxa"/>
            <w:vMerge/>
            <w:tcBorders>
              <w:left w:val="single" w:sz="4" w:space="0" w:color="auto"/>
              <w:bottom w:val="single" w:sz="4" w:space="0" w:color="auto"/>
              <w:right w:val="single" w:sz="4" w:space="0" w:color="auto"/>
            </w:tcBorders>
            <w:shd w:val="clear" w:color="auto" w:fill="auto"/>
            <w:vAlign w:val="center"/>
          </w:tcPr>
          <w:p w14:paraId="21DA5AA1" w14:textId="77777777" w:rsidR="008309E6" w:rsidRPr="00954E51" w:rsidRDefault="008309E6" w:rsidP="00D94CDA">
            <w:pPr>
              <w:spacing w:after="0" w:line="240" w:lineRule="auto"/>
              <w:jc w:val="center"/>
              <w:rPr>
                <w:rFonts w:ascii="Cambria" w:eastAsia="Times New Roman" w:hAnsi="Cambria" w:cs="Calibri"/>
                <w:b/>
                <w:bCs/>
                <w:color w:val="000000"/>
                <w:kern w:val="0"/>
                <w:lang w:val="id-ID"/>
                <w14:ligatures w14:val="none"/>
              </w:rPr>
            </w:pPr>
          </w:p>
        </w:tc>
        <w:tc>
          <w:tcPr>
            <w:tcW w:w="1710" w:type="dxa"/>
            <w:tcBorders>
              <w:top w:val="single" w:sz="4" w:space="0" w:color="auto"/>
              <w:left w:val="nil"/>
              <w:bottom w:val="single" w:sz="4" w:space="0" w:color="auto"/>
              <w:right w:val="single" w:sz="4" w:space="0" w:color="auto"/>
            </w:tcBorders>
            <w:shd w:val="clear" w:color="auto" w:fill="auto"/>
            <w:vAlign w:val="center"/>
          </w:tcPr>
          <w:p w14:paraId="50D39061" w14:textId="77777777" w:rsidR="008309E6" w:rsidRPr="00954E51" w:rsidRDefault="008309E6" w:rsidP="00D94CDA">
            <w:pPr>
              <w:spacing w:after="0" w:line="240" w:lineRule="auto"/>
              <w:jc w:val="center"/>
              <w:rPr>
                <w:rFonts w:ascii="Cambria" w:eastAsia="Times New Roman" w:hAnsi="Cambria" w:cs="Calibri"/>
                <w:b/>
                <w:bCs/>
                <w:color w:val="000000"/>
                <w:kern w:val="0"/>
                <w:lang w:val="id-ID"/>
                <w14:ligatures w14:val="none"/>
              </w:rPr>
            </w:pPr>
            <w:r w:rsidRPr="00954E51">
              <w:rPr>
                <w:rFonts w:ascii="Cambria" w:eastAsia="Times New Roman" w:hAnsi="Cambria" w:cs="Calibri"/>
                <w:b/>
                <w:bCs/>
                <w:color w:val="000000"/>
                <w:kern w:val="0"/>
                <w:lang w:val="id-ID"/>
                <w14:ligatures w14:val="none"/>
              </w:rPr>
              <w:t>2024</w:t>
            </w:r>
          </w:p>
        </w:tc>
        <w:tc>
          <w:tcPr>
            <w:tcW w:w="1530" w:type="dxa"/>
            <w:tcBorders>
              <w:top w:val="single" w:sz="4" w:space="0" w:color="auto"/>
              <w:left w:val="nil"/>
              <w:bottom w:val="single" w:sz="4" w:space="0" w:color="auto"/>
              <w:right w:val="single" w:sz="4" w:space="0" w:color="auto"/>
            </w:tcBorders>
            <w:shd w:val="clear" w:color="auto" w:fill="auto"/>
            <w:vAlign w:val="center"/>
          </w:tcPr>
          <w:p w14:paraId="5F56B46D" w14:textId="77777777" w:rsidR="008309E6" w:rsidRPr="00954E51" w:rsidRDefault="008309E6" w:rsidP="00D94CDA">
            <w:pPr>
              <w:spacing w:after="0" w:line="240" w:lineRule="auto"/>
              <w:jc w:val="center"/>
              <w:rPr>
                <w:rFonts w:ascii="Cambria" w:eastAsia="Times New Roman" w:hAnsi="Cambria" w:cs="Calibri"/>
                <w:b/>
                <w:bCs/>
                <w:color w:val="000000"/>
                <w:kern w:val="0"/>
                <w:lang w:val="id-ID"/>
                <w14:ligatures w14:val="none"/>
              </w:rPr>
            </w:pPr>
            <w:r w:rsidRPr="00954E51">
              <w:rPr>
                <w:rFonts w:ascii="Cambria" w:eastAsia="Times New Roman" w:hAnsi="Cambria" w:cs="Calibri"/>
                <w:b/>
                <w:bCs/>
                <w:color w:val="000000"/>
                <w:kern w:val="0"/>
                <w:lang w:val="id-ID"/>
                <w14:ligatures w14:val="none"/>
              </w:rPr>
              <w:t>2023</w:t>
            </w:r>
          </w:p>
        </w:tc>
      </w:tr>
      <w:tr w:rsidR="008309E6" w:rsidRPr="00954E51" w14:paraId="6A311BC2" w14:textId="77777777" w:rsidTr="00F90E46">
        <w:trPr>
          <w:trHeight w:val="300"/>
          <w:jc w:val="center"/>
        </w:trPr>
        <w:tc>
          <w:tcPr>
            <w:tcW w:w="222" w:type="dxa"/>
            <w:tcBorders>
              <w:top w:val="nil"/>
              <w:left w:val="nil"/>
              <w:bottom w:val="nil"/>
              <w:right w:val="nil"/>
            </w:tcBorders>
            <w:shd w:val="clear" w:color="auto" w:fill="auto"/>
            <w:noWrap/>
            <w:vAlign w:val="bottom"/>
            <w:hideMark/>
          </w:tcPr>
          <w:p w14:paraId="73FC5D9B" w14:textId="77777777" w:rsidR="008309E6" w:rsidRPr="00954E51" w:rsidRDefault="008309E6" w:rsidP="00D94CDA">
            <w:pPr>
              <w:spacing w:after="0" w:line="240" w:lineRule="auto"/>
              <w:jc w:val="center"/>
              <w:rPr>
                <w:rFonts w:ascii="Cambria" w:eastAsia="Times New Roman" w:hAnsi="Cambria" w:cs="Calibri"/>
                <w:b/>
                <w:bCs/>
                <w:color w:val="000000"/>
                <w:kern w:val="0"/>
                <w:lang w:val="id-ID"/>
                <w14:ligatures w14:val="none"/>
              </w:rPr>
            </w:pPr>
          </w:p>
        </w:tc>
        <w:tc>
          <w:tcPr>
            <w:tcW w:w="3378" w:type="dxa"/>
            <w:tcBorders>
              <w:top w:val="nil"/>
              <w:left w:val="single" w:sz="4" w:space="0" w:color="auto"/>
              <w:bottom w:val="single" w:sz="4" w:space="0" w:color="auto"/>
              <w:right w:val="single" w:sz="4" w:space="0" w:color="auto"/>
            </w:tcBorders>
            <w:shd w:val="clear" w:color="auto" w:fill="auto"/>
            <w:noWrap/>
            <w:vAlign w:val="bottom"/>
            <w:hideMark/>
          </w:tcPr>
          <w:p w14:paraId="339FFEA4" w14:textId="77777777" w:rsidR="008309E6" w:rsidRPr="00954E51" w:rsidRDefault="008309E6" w:rsidP="00D94CDA">
            <w:pPr>
              <w:spacing w:after="0" w:line="240" w:lineRule="auto"/>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Kab</w:t>
            </w:r>
            <w:r>
              <w:rPr>
                <w:rFonts w:ascii="Cambria" w:eastAsia="Times New Roman" w:hAnsi="Cambria" w:cs="Calibri"/>
                <w:color w:val="000000"/>
                <w:kern w:val="0"/>
                <w:lang w:val="id-ID"/>
                <w14:ligatures w14:val="none"/>
              </w:rPr>
              <w:t>upaten</w:t>
            </w:r>
            <w:r w:rsidRPr="00954E51">
              <w:rPr>
                <w:rFonts w:ascii="Cambria" w:eastAsia="Times New Roman" w:hAnsi="Cambria" w:cs="Calibri"/>
                <w:color w:val="000000"/>
                <w:kern w:val="0"/>
                <w:lang w:val="id-ID"/>
                <w14:ligatures w14:val="none"/>
              </w:rPr>
              <w:t xml:space="preserve"> Halmahera Barat</w:t>
            </w:r>
          </w:p>
        </w:tc>
        <w:tc>
          <w:tcPr>
            <w:tcW w:w="1710" w:type="dxa"/>
            <w:tcBorders>
              <w:top w:val="nil"/>
              <w:left w:val="nil"/>
              <w:bottom w:val="single" w:sz="4" w:space="0" w:color="auto"/>
              <w:right w:val="single" w:sz="4" w:space="0" w:color="auto"/>
            </w:tcBorders>
            <w:shd w:val="clear" w:color="auto" w:fill="auto"/>
            <w:noWrap/>
            <w:vAlign w:val="bottom"/>
            <w:hideMark/>
          </w:tcPr>
          <w:p w14:paraId="1BF8B2D2" w14:textId="77777777" w:rsidR="008309E6" w:rsidRPr="00954E51" w:rsidRDefault="008309E6" w:rsidP="00D94CDA">
            <w:pPr>
              <w:spacing w:after="0" w:line="240" w:lineRule="auto"/>
              <w:jc w:val="right"/>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0,47</w:t>
            </w:r>
          </w:p>
        </w:tc>
        <w:tc>
          <w:tcPr>
            <w:tcW w:w="1530" w:type="dxa"/>
            <w:tcBorders>
              <w:top w:val="nil"/>
              <w:left w:val="nil"/>
              <w:bottom w:val="single" w:sz="4" w:space="0" w:color="auto"/>
              <w:right w:val="single" w:sz="4" w:space="0" w:color="auto"/>
            </w:tcBorders>
            <w:shd w:val="clear" w:color="auto" w:fill="auto"/>
            <w:noWrap/>
            <w:vAlign w:val="bottom"/>
            <w:hideMark/>
          </w:tcPr>
          <w:p w14:paraId="2EF0E294" w14:textId="77777777" w:rsidR="008309E6" w:rsidRPr="00954E51" w:rsidRDefault="008309E6" w:rsidP="00D94CDA">
            <w:pPr>
              <w:spacing w:after="0" w:line="240" w:lineRule="auto"/>
              <w:jc w:val="right"/>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3,96</w:t>
            </w:r>
          </w:p>
        </w:tc>
      </w:tr>
      <w:tr w:rsidR="008309E6" w:rsidRPr="00954E51" w14:paraId="5300CC8F" w14:textId="77777777" w:rsidTr="00F90E46">
        <w:trPr>
          <w:trHeight w:val="300"/>
          <w:jc w:val="center"/>
        </w:trPr>
        <w:tc>
          <w:tcPr>
            <w:tcW w:w="222" w:type="dxa"/>
            <w:tcBorders>
              <w:top w:val="nil"/>
              <w:left w:val="nil"/>
              <w:bottom w:val="nil"/>
              <w:right w:val="nil"/>
            </w:tcBorders>
            <w:shd w:val="clear" w:color="auto" w:fill="auto"/>
            <w:noWrap/>
            <w:vAlign w:val="bottom"/>
            <w:hideMark/>
          </w:tcPr>
          <w:p w14:paraId="7902D311" w14:textId="77777777" w:rsidR="008309E6" w:rsidRPr="00954E51" w:rsidRDefault="008309E6" w:rsidP="00D94CDA">
            <w:pPr>
              <w:spacing w:after="0" w:line="240" w:lineRule="auto"/>
              <w:jc w:val="right"/>
              <w:rPr>
                <w:rFonts w:ascii="Cambria" w:eastAsia="Times New Roman" w:hAnsi="Cambria" w:cs="Calibri"/>
                <w:color w:val="000000"/>
                <w:kern w:val="0"/>
                <w:lang w:val="id-ID"/>
                <w14:ligatures w14:val="none"/>
              </w:rPr>
            </w:pPr>
          </w:p>
        </w:tc>
        <w:tc>
          <w:tcPr>
            <w:tcW w:w="3378" w:type="dxa"/>
            <w:tcBorders>
              <w:top w:val="nil"/>
              <w:left w:val="single" w:sz="4" w:space="0" w:color="auto"/>
              <w:bottom w:val="single" w:sz="4" w:space="0" w:color="auto"/>
              <w:right w:val="single" w:sz="4" w:space="0" w:color="auto"/>
            </w:tcBorders>
            <w:shd w:val="clear" w:color="auto" w:fill="auto"/>
            <w:noWrap/>
            <w:vAlign w:val="bottom"/>
            <w:hideMark/>
          </w:tcPr>
          <w:p w14:paraId="7C681B19" w14:textId="77777777" w:rsidR="008309E6" w:rsidRPr="00954E51" w:rsidRDefault="008309E6" w:rsidP="00D94CDA">
            <w:pPr>
              <w:spacing w:after="0" w:line="240" w:lineRule="auto"/>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Kab</w:t>
            </w:r>
            <w:r>
              <w:rPr>
                <w:rFonts w:ascii="Cambria" w:eastAsia="Times New Roman" w:hAnsi="Cambria" w:cs="Calibri"/>
                <w:color w:val="000000"/>
                <w:kern w:val="0"/>
                <w:lang w:val="id-ID"/>
                <w14:ligatures w14:val="none"/>
              </w:rPr>
              <w:t>upaten</w:t>
            </w:r>
            <w:r w:rsidRPr="00954E51" w:rsidDel="005B6C48">
              <w:rPr>
                <w:rFonts w:ascii="Cambria" w:eastAsia="Times New Roman" w:hAnsi="Cambria" w:cs="Calibri"/>
                <w:color w:val="000000"/>
                <w:kern w:val="0"/>
                <w:lang w:val="id-ID"/>
                <w14:ligatures w14:val="none"/>
              </w:rPr>
              <w:t xml:space="preserve"> </w:t>
            </w:r>
            <w:r w:rsidRPr="00954E51">
              <w:rPr>
                <w:rFonts w:ascii="Cambria" w:eastAsia="Times New Roman" w:hAnsi="Cambria" w:cs="Calibri"/>
                <w:color w:val="000000"/>
                <w:kern w:val="0"/>
                <w:lang w:val="id-ID"/>
                <w14:ligatures w14:val="none"/>
              </w:rPr>
              <w:t>Banggai Laut</w:t>
            </w:r>
          </w:p>
        </w:tc>
        <w:tc>
          <w:tcPr>
            <w:tcW w:w="1710" w:type="dxa"/>
            <w:tcBorders>
              <w:top w:val="nil"/>
              <w:left w:val="nil"/>
              <w:bottom w:val="single" w:sz="4" w:space="0" w:color="auto"/>
              <w:right w:val="single" w:sz="4" w:space="0" w:color="auto"/>
            </w:tcBorders>
            <w:shd w:val="clear" w:color="auto" w:fill="auto"/>
            <w:noWrap/>
            <w:vAlign w:val="bottom"/>
            <w:hideMark/>
          </w:tcPr>
          <w:p w14:paraId="40E48BE3" w14:textId="77777777" w:rsidR="008309E6" w:rsidRPr="00954E51" w:rsidRDefault="008309E6" w:rsidP="00D94CDA">
            <w:pPr>
              <w:spacing w:after="0" w:line="240" w:lineRule="auto"/>
              <w:jc w:val="right"/>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0,78</w:t>
            </w:r>
          </w:p>
        </w:tc>
        <w:tc>
          <w:tcPr>
            <w:tcW w:w="1530" w:type="dxa"/>
            <w:tcBorders>
              <w:top w:val="nil"/>
              <w:left w:val="nil"/>
              <w:bottom w:val="single" w:sz="4" w:space="0" w:color="auto"/>
              <w:right w:val="single" w:sz="4" w:space="0" w:color="auto"/>
            </w:tcBorders>
            <w:shd w:val="clear" w:color="auto" w:fill="auto"/>
            <w:noWrap/>
            <w:vAlign w:val="bottom"/>
            <w:hideMark/>
          </w:tcPr>
          <w:p w14:paraId="1AD75C68" w14:textId="77777777" w:rsidR="008309E6" w:rsidRPr="00954E51" w:rsidRDefault="008309E6" w:rsidP="00D94CDA">
            <w:pPr>
              <w:spacing w:after="0" w:line="240" w:lineRule="auto"/>
              <w:jc w:val="right"/>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4,95</w:t>
            </w:r>
          </w:p>
        </w:tc>
      </w:tr>
      <w:tr w:rsidR="008309E6" w:rsidRPr="00954E51" w14:paraId="23378304" w14:textId="77777777" w:rsidTr="00F90E46">
        <w:trPr>
          <w:trHeight w:val="300"/>
          <w:jc w:val="center"/>
        </w:trPr>
        <w:tc>
          <w:tcPr>
            <w:tcW w:w="222" w:type="dxa"/>
            <w:tcBorders>
              <w:top w:val="nil"/>
              <w:left w:val="nil"/>
              <w:bottom w:val="nil"/>
              <w:right w:val="nil"/>
            </w:tcBorders>
            <w:shd w:val="clear" w:color="auto" w:fill="auto"/>
            <w:noWrap/>
            <w:vAlign w:val="bottom"/>
            <w:hideMark/>
          </w:tcPr>
          <w:p w14:paraId="60B46E6D" w14:textId="77777777" w:rsidR="008309E6" w:rsidRPr="00954E51" w:rsidRDefault="008309E6" w:rsidP="00D94CDA">
            <w:pPr>
              <w:spacing w:after="0" w:line="240" w:lineRule="auto"/>
              <w:jc w:val="right"/>
              <w:rPr>
                <w:rFonts w:ascii="Cambria" w:eastAsia="Times New Roman" w:hAnsi="Cambria" w:cs="Calibri"/>
                <w:color w:val="000000"/>
                <w:kern w:val="0"/>
                <w:lang w:val="id-ID"/>
                <w14:ligatures w14:val="none"/>
              </w:rPr>
            </w:pPr>
          </w:p>
        </w:tc>
        <w:tc>
          <w:tcPr>
            <w:tcW w:w="3378" w:type="dxa"/>
            <w:tcBorders>
              <w:top w:val="nil"/>
              <w:left w:val="single" w:sz="4" w:space="0" w:color="auto"/>
              <w:bottom w:val="single" w:sz="4" w:space="0" w:color="auto"/>
              <w:right w:val="single" w:sz="4" w:space="0" w:color="auto"/>
            </w:tcBorders>
            <w:shd w:val="clear" w:color="auto" w:fill="auto"/>
            <w:noWrap/>
            <w:vAlign w:val="bottom"/>
            <w:hideMark/>
          </w:tcPr>
          <w:p w14:paraId="04FD3BB2" w14:textId="77777777" w:rsidR="008309E6" w:rsidRPr="00954E51" w:rsidRDefault="008309E6" w:rsidP="00D94CDA">
            <w:pPr>
              <w:spacing w:after="0" w:line="240" w:lineRule="auto"/>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Kab</w:t>
            </w:r>
            <w:r>
              <w:rPr>
                <w:rFonts w:ascii="Cambria" w:eastAsia="Times New Roman" w:hAnsi="Cambria" w:cs="Calibri"/>
                <w:color w:val="000000"/>
                <w:kern w:val="0"/>
                <w:lang w:val="id-ID"/>
                <w14:ligatures w14:val="none"/>
              </w:rPr>
              <w:t>upaten</w:t>
            </w:r>
            <w:r w:rsidRPr="00954E51">
              <w:rPr>
                <w:rFonts w:ascii="Cambria" w:eastAsia="Times New Roman" w:hAnsi="Cambria" w:cs="Calibri"/>
                <w:color w:val="000000"/>
                <w:kern w:val="0"/>
                <w:lang w:val="id-ID"/>
                <w14:ligatures w14:val="none"/>
              </w:rPr>
              <w:t xml:space="preserve"> Kepulauan Aru</w:t>
            </w:r>
          </w:p>
        </w:tc>
        <w:tc>
          <w:tcPr>
            <w:tcW w:w="1710" w:type="dxa"/>
            <w:tcBorders>
              <w:top w:val="nil"/>
              <w:left w:val="nil"/>
              <w:bottom w:val="single" w:sz="4" w:space="0" w:color="auto"/>
              <w:right w:val="single" w:sz="4" w:space="0" w:color="auto"/>
            </w:tcBorders>
            <w:shd w:val="clear" w:color="auto" w:fill="auto"/>
            <w:noWrap/>
            <w:vAlign w:val="bottom"/>
            <w:hideMark/>
          </w:tcPr>
          <w:p w14:paraId="01E7C4F4" w14:textId="77777777" w:rsidR="008309E6" w:rsidRPr="00954E51" w:rsidRDefault="008309E6" w:rsidP="00D94CDA">
            <w:pPr>
              <w:spacing w:after="0" w:line="240" w:lineRule="auto"/>
              <w:jc w:val="right"/>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0,92</w:t>
            </w:r>
          </w:p>
        </w:tc>
        <w:tc>
          <w:tcPr>
            <w:tcW w:w="1530" w:type="dxa"/>
            <w:tcBorders>
              <w:top w:val="nil"/>
              <w:left w:val="nil"/>
              <w:bottom w:val="single" w:sz="4" w:space="0" w:color="auto"/>
              <w:right w:val="single" w:sz="4" w:space="0" w:color="auto"/>
            </w:tcBorders>
            <w:shd w:val="clear" w:color="auto" w:fill="auto"/>
            <w:noWrap/>
            <w:vAlign w:val="bottom"/>
            <w:hideMark/>
          </w:tcPr>
          <w:p w14:paraId="337B7B57" w14:textId="77777777" w:rsidR="008309E6" w:rsidRPr="00954E51" w:rsidRDefault="008309E6" w:rsidP="00D94CDA">
            <w:pPr>
              <w:spacing w:after="0" w:line="240" w:lineRule="auto"/>
              <w:jc w:val="right"/>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3,50</w:t>
            </w:r>
          </w:p>
        </w:tc>
      </w:tr>
      <w:tr w:rsidR="008309E6" w:rsidRPr="00954E51" w14:paraId="736EB019" w14:textId="77777777" w:rsidTr="00F90E46">
        <w:trPr>
          <w:trHeight w:val="300"/>
          <w:jc w:val="center"/>
        </w:trPr>
        <w:tc>
          <w:tcPr>
            <w:tcW w:w="222" w:type="dxa"/>
            <w:tcBorders>
              <w:top w:val="nil"/>
              <w:left w:val="nil"/>
              <w:bottom w:val="nil"/>
              <w:right w:val="nil"/>
            </w:tcBorders>
            <w:shd w:val="clear" w:color="auto" w:fill="auto"/>
            <w:noWrap/>
            <w:vAlign w:val="bottom"/>
            <w:hideMark/>
          </w:tcPr>
          <w:p w14:paraId="23A9E2BB" w14:textId="77777777" w:rsidR="008309E6" w:rsidRPr="00954E51" w:rsidRDefault="008309E6" w:rsidP="00D94CDA">
            <w:pPr>
              <w:spacing w:after="0" w:line="240" w:lineRule="auto"/>
              <w:jc w:val="right"/>
              <w:rPr>
                <w:rFonts w:ascii="Cambria" w:eastAsia="Times New Roman" w:hAnsi="Cambria" w:cs="Calibri"/>
                <w:color w:val="000000"/>
                <w:kern w:val="0"/>
                <w:lang w:val="id-ID"/>
                <w14:ligatures w14:val="none"/>
              </w:rPr>
            </w:pPr>
          </w:p>
        </w:tc>
        <w:tc>
          <w:tcPr>
            <w:tcW w:w="3378" w:type="dxa"/>
            <w:tcBorders>
              <w:top w:val="nil"/>
              <w:left w:val="single" w:sz="4" w:space="0" w:color="auto"/>
              <w:bottom w:val="single" w:sz="4" w:space="0" w:color="auto"/>
              <w:right w:val="single" w:sz="4" w:space="0" w:color="auto"/>
            </w:tcBorders>
            <w:shd w:val="clear" w:color="auto" w:fill="auto"/>
            <w:noWrap/>
            <w:vAlign w:val="bottom"/>
            <w:hideMark/>
          </w:tcPr>
          <w:p w14:paraId="476BF534" w14:textId="77777777" w:rsidR="008309E6" w:rsidRPr="00954E51" w:rsidRDefault="008309E6" w:rsidP="00D94CDA">
            <w:pPr>
              <w:spacing w:after="0" w:line="240" w:lineRule="auto"/>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Kab</w:t>
            </w:r>
            <w:r>
              <w:rPr>
                <w:rFonts w:ascii="Cambria" w:eastAsia="Times New Roman" w:hAnsi="Cambria" w:cs="Calibri"/>
                <w:color w:val="000000"/>
                <w:kern w:val="0"/>
                <w:lang w:val="id-ID"/>
                <w14:ligatures w14:val="none"/>
              </w:rPr>
              <w:t>upaten</w:t>
            </w:r>
            <w:r w:rsidRPr="00954E51">
              <w:rPr>
                <w:rFonts w:ascii="Cambria" w:eastAsia="Times New Roman" w:hAnsi="Cambria" w:cs="Calibri"/>
                <w:color w:val="000000"/>
                <w:kern w:val="0"/>
                <w:lang w:val="id-ID"/>
                <w14:ligatures w14:val="none"/>
              </w:rPr>
              <w:t xml:space="preserve"> Mamasa</w:t>
            </w:r>
          </w:p>
        </w:tc>
        <w:tc>
          <w:tcPr>
            <w:tcW w:w="1710" w:type="dxa"/>
            <w:tcBorders>
              <w:top w:val="nil"/>
              <w:left w:val="nil"/>
              <w:bottom w:val="single" w:sz="4" w:space="0" w:color="auto"/>
              <w:right w:val="single" w:sz="4" w:space="0" w:color="auto"/>
            </w:tcBorders>
            <w:shd w:val="clear" w:color="auto" w:fill="auto"/>
            <w:noWrap/>
            <w:vAlign w:val="bottom"/>
            <w:hideMark/>
          </w:tcPr>
          <w:p w14:paraId="13AA9A7E" w14:textId="77777777" w:rsidR="008309E6" w:rsidRPr="00954E51" w:rsidRDefault="008309E6" w:rsidP="00D94CDA">
            <w:pPr>
              <w:spacing w:after="0" w:line="240" w:lineRule="auto"/>
              <w:jc w:val="right"/>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1,05</w:t>
            </w:r>
          </w:p>
        </w:tc>
        <w:tc>
          <w:tcPr>
            <w:tcW w:w="1530" w:type="dxa"/>
            <w:tcBorders>
              <w:top w:val="nil"/>
              <w:left w:val="nil"/>
              <w:bottom w:val="single" w:sz="4" w:space="0" w:color="auto"/>
              <w:right w:val="single" w:sz="4" w:space="0" w:color="auto"/>
            </w:tcBorders>
            <w:shd w:val="clear" w:color="auto" w:fill="auto"/>
            <w:noWrap/>
            <w:vAlign w:val="bottom"/>
            <w:hideMark/>
          </w:tcPr>
          <w:p w14:paraId="12F59C02" w14:textId="77777777" w:rsidR="008309E6" w:rsidRPr="00954E51" w:rsidRDefault="008309E6" w:rsidP="00D94CDA">
            <w:pPr>
              <w:spacing w:after="0" w:line="240" w:lineRule="auto"/>
              <w:jc w:val="right"/>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2,16</w:t>
            </w:r>
          </w:p>
        </w:tc>
      </w:tr>
      <w:tr w:rsidR="008309E6" w:rsidRPr="00954E51" w14:paraId="6A443293" w14:textId="77777777" w:rsidTr="00F90E46">
        <w:trPr>
          <w:trHeight w:val="300"/>
          <w:jc w:val="center"/>
        </w:trPr>
        <w:tc>
          <w:tcPr>
            <w:tcW w:w="222" w:type="dxa"/>
            <w:tcBorders>
              <w:top w:val="nil"/>
              <w:left w:val="nil"/>
              <w:bottom w:val="nil"/>
              <w:right w:val="nil"/>
            </w:tcBorders>
            <w:shd w:val="clear" w:color="auto" w:fill="auto"/>
            <w:noWrap/>
            <w:vAlign w:val="bottom"/>
            <w:hideMark/>
          </w:tcPr>
          <w:p w14:paraId="786691D6" w14:textId="77777777" w:rsidR="008309E6" w:rsidRPr="00954E51" w:rsidRDefault="008309E6" w:rsidP="00D94CDA">
            <w:pPr>
              <w:spacing w:after="0" w:line="240" w:lineRule="auto"/>
              <w:jc w:val="right"/>
              <w:rPr>
                <w:rFonts w:ascii="Cambria" w:eastAsia="Times New Roman" w:hAnsi="Cambria" w:cs="Calibri"/>
                <w:color w:val="000000"/>
                <w:kern w:val="0"/>
                <w:lang w:val="id-ID"/>
                <w14:ligatures w14:val="none"/>
              </w:rPr>
            </w:pPr>
          </w:p>
        </w:tc>
        <w:tc>
          <w:tcPr>
            <w:tcW w:w="3378" w:type="dxa"/>
            <w:tcBorders>
              <w:top w:val="nil"/>
              <w:left w:val="single" w:sz="4" w:space="0" w:color="auto"/>
              <w:bottom w:val="single" w:sz="4" w:space="0" w:color="auto"/>
              <w:right w:val="single" w:sz="4" w:space="0" w:color="auto"/>
            </w:tcBorders>
            <w:shd w:val="clear" w:color="auto" w:fill="auto"/>
            <w:noWrap/>
            <w:vAlign w:val="bottom"/>
            <w:hideMark/>
          </w:tcPr>
          <w:p w14:paraId="11F5A82B" w14:textId="77777777" w:rsidR="008309E6" w:rsidRPr="00954E51" w:rsidRDefault="008309E6" w:rsidP="00D94CDA">
            <w:pPr>
              <w:spacing w:after="0" w:line="240" w:lineRule="auto"/>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Kab</w:t>
            </w:r>
            <w:r>
              <w:rPr>
                <w:rFonts w:ascii="Cambria" w:eastAsia="Times New Roman" w:hAnsi="Cambria" w:cs="Calibri"/>
                <w:color w:val="000000"/>
                <w:kern w:val="0"/>
                <w:lang w:val="id-ID"/>
                <w14:ligatures w14:val="none"/>
              </w:rPr>
              <w:t>upaten</w:t>
            </w:r>
            <w:r w:rsidRPr="00954E51">
              <w:rPr>
                <w:rFonts w:ascii="Cambria" w:eastAsia="Times New Roman" w:hAnsi="Cambria" w:cs="Calibri"/>
                <w:color w:val="000000"/>
                <w:kern w:val="0"/>
                <w:lang w:val="id-ID"/>
                <w14:ligatures w14:val="none"/>
              </w:rPr>
              <w:t xml:space="preserve"> Banggai Kepulauan</w:t>
            </w:r>
          </w:p>
        </w:tc>
        <w:tc>
          <w:tcPr>
            <w:tcW w:w="1710" w:type="dxa"/>
            <w:tcBorders>
              <w:top w:val="nil"/>
              <w:left w:val="nil"/>
              <w:bottom w:val="single" w:sz="4" w:space="0" w:color="auto"/>
              <w:right w:val="single" w:sz="4" w:space="0" w:color="auto"/>
            </w:tcBorders>
            <w:shd w:val="clear" w:color="auto" w:fill="auto"/>
            <w:noWrap/>
            <w:vAlign w:val="bottom"/>
            <w:hideMark/>
          </w:tcPr>
          <w:p w14:paraId="184142FB" w14:textId="77777777" w:rsidR="008309E6" w:rsidRPr="00954E51" w:rsidRDefault="008309E6" w:rsidP="00D94CDA">
            <w:pPr>
              <w:spacing w:after="0" w:line="240" w:lineRule="auto"/>
              <w:jc w:val="right"/>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1,35</w:t>
            </w:r>
          </w:p>
        </w:tc>
        <w:tc>
          <w:tcPr>
            <w:tcW w:w="1530" w:type="dxa"/>
            <w:tcBorders>
              <w:top w:val="nil"/>
              <w:left w:val="nil"/>
              <w:bottom w:val="single" w:sz="4" w:space="0" w:color="auto"/>
              <w:right w:val="single" w:sz="4" w:space="0" w:color="auto"/>
            </w:tcBorders>
            <w:shd w:val="clear" w:color="auto" w:fill="auto"/>
            <w:noWrap/>
            <w:vAlign w:val="bottom"/>
            <w:hideMark/>
          </w:tcPr>
          <w:p w14:paraId="1AB343FE" w14:textId="77777777" w:rsidR="008309E6" w:rsidRPr="00954E51" w:rsidRDefault="008309E6" w:rsidP="00D94CDA">
            <w:pPr>
              <w:spacing w:after="0" w:line="240" w:lineRule="auto"/>
              <w:jc w:val="right"/>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4,99</w:t>
            </w:r>
          </w:p>
        </w:tc>
      </w:tr>
      <w:tr w:rsidR="008309E6" w:rsidRPr="00954E51" w14:paraId="1F94D501" w14:textId="77777777" w:rsidTr="00F90E46">
        <w:trPr>
          <w:trHeight w:val="300"/>
          <w:jc w:val="center"/>
        </w:trPr>
        <w:tc>
          <w:tcPr>
            <w:tcW w:w="222" w:type="dxa"/>
            <w:tcBorders>
              <w:top w:val="nil"/>
              <w:left w:val="nil"/>
              <w:bottom w:val="nil"/>
              <w:right w:val="nil"/>
            </w:tcBorders>
            <w:shd w:val="clear" w:color="auto" w:fill="auto"/>
            <w:noWrap/>
            <w:vAlign w:val="bottom"/>
            <w:hideMark/>
          </w:tcPr>
          <w:p w14:paraId="5555204C" w14:textId="77777777" w:rsidR="008309E6" w:rsidRPr="00954E51" w:rsidRDefault="008309E6" w:rsidP="00D94CDA">
            <w:pPr>
              <w:spacing w:after="0" w:line="240" w:lineRule="auto"/>
              <w:jc w:val="right"/>
              <w:rPr>
                <w:rFonts w:ascii="Cambria" w:eastAsia="Times New Roman" w:hAnsi="Cambria" w:cs="Calibri"/>
                <w:color w:val="000000"/>
                <w:kern w:val="0"/>
                <w:lang w:val="id-ID"/>
                <w14:ligatures w14:val="none"/>
              </w:rPr>
            </w:pPr>
          </w:p>
        </w:tc>
        <w:tc>
          <w:tcPr>
            <w:tcW w:w="3378" w:type="dxa"/>
            <w:tcBorders>
              <w:top w:val="nil"/>
              <w:left w:val="single" w:sz="4" w:space="0" w:color="auto"/>
              <w:bottom w:val="single" w:sz="4" w:space="0" w:color="auto"/>
              <w:right w:val="single" w:sz="4" w:space="0" w:color="auto"/>
            </w:tcBorders>
            <w:shd w:val="clear" w:color="auto" w:fill="auto"/>
            <w:noWrap/>
            <w:vAlign w:val="bottom"/>
            <w:hideMark/>
          </w:tcPr>
          <w:p w14:paraId="3DC4D6DB" w14:textId="77777777" w:rsidR="008309E6" w:rsidRPr="00954E51" w:rsidRDefault="008309E6" w:rsidP="00D94CDA">
            <w:pPr>
              <w:spacing w:after="0" w:line="240" w:lineRule="auto"/>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Kab</w:t>
            </w:r>
            <w:r>
              <w:rPr>
                <w:rFonts w:ascii="Cambria" w:eastAsia="Times New Roman" w:hAnsi="Cambria" w:cs="Calibri"/>
                <w:color w:val="000000"/>
                <w:kern w:val="0"/>
                <w:lang w:val="id-ID"/>
                <w14:ligatures w14:val="none"/>
              </w:rPr>
              <w:t>upaten</w:t>
            </w:r>
            <w:r w:rsidRPr="00954E51">
              <w:rPr>
                <w:rFonts w:ascii="Cambria" w:eastAsia="Times New Roman" w:hAnsi="Cambria" w:cs="Calibri"/>
                <w:color w:val="000000"/>
                <w:kern w:val="0"/>
                <w:lang w:val="id-ID"/>
                <w14:ligatures w14:val="none"/>
              </w:rPr>
              <w:t xml:space="preserve"> Nias Barat</w:t>
            </w:r>
          </w:p>
        </w:tc>
        <w:tc>
          <w:tcPr>
            <w:tcW w:w="1710" w:type="dxa"/>
            <w:tcBorders>
              <w:top w:val="nil"/>
              <w:left w:val="nil"/>
              <w:bottom w:val="single" w:sz="4" w:space="0" w:color="auto"/>
              <w:right w:val="single" w:sz="4" w:space="0" w:color="auto"/>
            </w:tcBorders>
            <w:shd w:val="clear" w:color="auto" w:fill="auto"/>
            <w:noWrap/>
            <w:vAlign w:val="bottom"/>
            <w:hideMark/>
          </w:tcPr>
          <w:p w14:paraId="437361D4" w14:textId="77777777" w:rsidR="008309E6" w:rsidRPr="00954E51" w:rsidRDefault="008309E6" w:rsidP="00D94CDA">
            <w:pPr>
              <w:spacing w:after="0" w:line="240" w:lineRule="auto"/>
              <w:jc w:val="right"/>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1,59</w:t>
            </w:r>
          </w:p>
        </w:tc>
        <w:tc>
          <w:tcPr>
            <w:tcW w:w="1530" w:type="dxa"/>
            <w:tcBorders>
              <w:top w:val="nil"/>
              <w:left w:val="nil"/>
              <w:bottom w:val="single" w:sz="4" w:space="0" w:color="auto"/>
              <w:right w:val="single" w:sz="4" w:space="0" w:color="auto"/>
            </w:tcBorders>
            <w:shd w:val="clear" w:color="auto" w:fill="auto"/>
            <w:noWrap/>
            <w:vAlign w:val="bottom"/>
            <w:hideMark/>
          </w:tcPr>
          <w:p w14:paraId="3C7CECCA" w14:textId="77777777" w:rsidR="008309E6" w:rsidRPr="00954E51" w:rsidRDefault="008309E6" w:rsidP="00D94CDA">
            <w:pPr>
              <w:spacing w:after="0" w:line="240" w:lineRule="auto"/>
              <w:jc w:val="right"/>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2,05</w:t>
            </w:r>
          </w:p>
        </w:tc>
      </w:tr>
      <w:tr w:rsidR="008309E6" w:rsidRPr="00954E51" w14:paraId="6BC1F368" w14:textId="77777777" w:rsidTr="00F90E46">
        <w:trPr>
          <w:trHeight w:val="300"/>
          <w:jc w:val="center"/>
        </w:trPr>
        <w:tc>
          <w:tcPr>
            <w:tcW w:w="222" w:type="dxa"/>
            <w:tcBorders>
              <w:top w:val="nil"/>
              <w:left w:val="nil"/>
              <w:bottom w:val="nil"/>
              <w:right w:val="nil"/>
            </w:tcBorders>
            <w:shd w:val="clear" w:color="auto" w:fill="auto"/>
            <w:noWrap/>
            <w:vAlign w:val="bottom"/>
            <w:hideMark/>
          </w:tcPr>
          <w:p w14:paraId="2BBC561D" w14:textId="77777777" w:rsidR="008309E6" w:rsidRPr="00954E51" w:rsidRDefault="008309E6" w:rsidP="00D94CDA">
            <w:pPr>
              <w:spacing w:after="0" w:line="240" w:lineRule="auto"/>
              <w:jc w:val="right"/>
              <w:rPr>
                <w:rFonts w:ascii="Cambria" w:eastAsia="Times New Roman" w:hAnsi="Cambria" w:cs="Calibri"/>
                <w:color w:val="000000"/>
                <w:kern w:val="0"/>
                <w:lang w:val="id-ID"/>
                <w14:ligatures w14:val="none"/>
              </w:rPr>
            </w:pPr>
          </w:p>
        </w:tc>
        <w:tc>
          <w:tcPr>
            <w:tcW w:w="3378" w:type="dxa"/>
            <w:tcBorders>
              <w:top w:val="nil"/>
              <w:left w:val="single" w:sz="4" w:space="0" w:color="auto"/>
              <w:bottom w:val="single" w:sz="4" w:space="0" w:color="auto"/>
              <w:right w:val="single" w:sz="4" w:space="0" w:color="auto"/>
            </w:tcBorders>
            <w:shd w:val="clear" w:color="auto" w:fill="auto"/>
            <w:noWrap/>
            <w:vAlign w:val="bottom"/>
            <w:hideMark/>
          </w:tcPr>
          <w:p w14:paraId="73406CB3" w14:textId="77777777" w:rsidR="008309E6" w:rsidRPr="00954E51" w:rsidRDefault="008309E6" w:rsidP="00D94CDA">
            <w:pPr>
              <w:spacing w:after="0" w:line="240" w:lineRule="auto"/>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Kab</w:t>
            </w:r>
            <w:r>
              <w:rPr>
                <w:rFonts w:ascii="Cambria" w:eastAsia="Times New Roman" w:hAnsi="Cambria" w:cs="Calibri"/>
                <w:color w:val="000000"/>
                <w:kern w:val="0"/>
                <w:lang w:val="id-ID"/>
                <w14:ligatures w14:val="none"/>
              </w:rPr>
              <w:t>upaten</w:t>
            </w:r>
            <w:r w:rsidRPr="00954E51">
              <w:rPr>
                <w:rFonts w:ascii="Cambria" w:eastAsia="Times New Roman" w:hAnsi="Cambria" w:cs="Calibri"/>
                <w:color w:val="000000"/>
                <w:kern w:val="0"/>
                <w:lang w:val="id-ID"/>
                <w14:ligatures w14:val="none"/>
              </w:rPr>
              <w:t xml:space="preserve"> Muna</w:t>
            </w:r>
          </w:p>
        </w:tc>
        <w:tc>
          <w:tcPr>
            <w:tcW w:w="1710" w:type="dxa"/>
            <w:tcBorders>
              <w:top w:val="nil"/>
              <w:left w:val="nil"/>
              <w:bottom w:val="single" w:sz="4" w:space="0" w:color="auto"/>
              <w:right w:val="single" w:sz="4" w:space="0" w:color="auto"/>
            </w:tcBorders>
            <w:shd w:val="clear" w:color="auto" w:fill="auto"/>
            <w:noWrap/>
            <w:vAlign w:val="bottom"/>
            <w:hideMark/>
          </w:tcPr>
          <w:p w14:paraId="09970AE3" w14:textId="77777777" w:rsidR="008309E6" w:rsidRPr="00954E51" w:rsidRDefault="008309E6" w:rsidP="00D94CDA">
            <w:pPr>
              <w:spacing w:after="0" w:line="240" w:lineRule="auto"/>
              <w:jc w:val="right"/>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1,62</w:t>
            </w:r>
          </w:p>
        </w:tc>
        <w:tc>
          <w:tcPr>
            <w:tcW w:w="1530" w:type="dxa"/>
            <w:tcBorders>
              <w:top w:val="nil"/>
              <w:left w:val="nil"/>
              <w:bottom w:val="single" w:sz="4" w:space="0" w:color="auto"/>
              <w:right w:val="single" w:sz="4" w:space="0" w:color="auto"/>
            </w:tcBorders>
            <w:shd w:val="clear" w:color="auto" w:fill="auto"/>
            <w:noWrap/>
            <w:vAlign w:val="bottom"/>
            <w:hideMark/>
          </w:tcPr>
          <w:p w14:paraId="028963AF" w14:textId="77777777" w:rsidR="008309E6" w:rsidRPr="00954E51" w:rsidRDefault="008309E6" w:rsidP="00D94CDA">
            <w:pPr>
              <w:spacing w:after="0" w:line="240" w:lineRule="auto"/>
              <w:jc w:val="right"/>
              <w:rPr>
                <w:rFonts w:ascii="Cambria" w:eastAsia="Times New Roman" w:hAnsi="Cambria" w:cs="Calibri"/>
                <w:color w:val="000000"/>
                <w:kern w:val="0"/>
                <w:lang w:val="id-ID"/>
                <w14:ligatures w14:val="none"/>
              </w:rPr>
            </w:pPr>
            <w:r w:rsidRPr="00954E51">
              <w:rPr>
                <w:rFonts w:ascii="Cambria" w:eastAsia="Times New Roman" w:hAnsi="Cambria" w:cs="Calibri"/>
                <w:color w:val="000000"/>
                <w:kern w:val="0"/>
                <w:lang w:val="id-ID"/>
                <w14:ligatures w14:val="none"/>
              </w:rPr>
              <w:t>5,20</w:t>
            </w:r>
          </w:p>
        </w:tc>
      </w:tr>
    </w:tbl>
    <w:p w14:paraId="0AA3DDE3" w14:textId="2F4F5862" w:rsidR="008309E6" w:rsidRPr="00F434D5" w:rsidRDefault="00F434D5" w:rsidP="00F90E46">
      <w:pPr>
        <w:spacing w:after="0"/>
        <w:ind w:left="1980"/>
        <w:rPr>
          <w:rFonts w:ascii="Poppins" w:hAnsi="Poppins" w:cs="Poppins"/>
          <w:i/>
          <w:iCs/>
          <w:sz w:val="16"/>
          <w:szCs w:val="16"/>
          <w:lang w:val="id-ID"/>
        </w:rPr>
      </w:pPr>
      <w:r>
        <w:rPr>
          <w:rFonts w:ascii="Poppins" w:hAnsi="Poppins" w:cs="Poppins"/>
          <w:lang w:val="id-ID"/>
        </w:rPr>
        <w:br/>
      </w:r>
      <w:r w:rsidR="008309E6" w:rsidRPr="00F434D5">
        <w:rPr>
          <w:rFonts w:ascii="Poppins" w:hAnsi="Poppins" w:cs="Poppins"/>
          <w:i/>
          <w:iCs/>
          <w:sz w:val="16"/>
          <w:szCs w:val="16"/>
          <w:lang w:val="id-ID"/>
        </w:rPr>
        <w:t>Sumber: NEXT Indonesia mengolah dari data Kementerian Keuangan.</w:t>
      </w:r>
    </w:p>
    <w:p w14:paraId="2278AA07" w14:textId="7DA2A1C5" w:rsidR="00562DDA" w:rsidRPr="00F434D5" w:rsidRDefault="008309E6" w:rsidP="00F90E46">
      <w:pPr>
        <w:spacing w:after="0"/>
        <w:ind w:left="1980"/>
        <w:rPr>
          <w:rFonts w:ascii="Poppins" w:hAnsi="Poppins" w:cs="Poppins"/>
          <w:i/>
          <w:iCs/>
          <w:sz w:val="16"/>
          <w:szCs w:val="16"/>
          <w:lang w:val="id-ID"/>
        </w:rPr>
      </w:pPr>
      <w:r w:rsidRPr="00F434D5">
        <w:rPr>
          <w:rFonts w:ascii="Poppins" w:hAnsi="Poppins" w:cs="Poppins"/>
          <w:i/>
          <w:iCs/>
          <w:sz w:val="16"/>
          <w:szCs w:val="16"/>
          <w:lang w:val="id-ID"/>
        </w:rPr>
        <w:t>Keterangan: Kabupaten/Kota di Papua dikecualikan.</w:t>
      </w:r>
    </w:p>
    <w:p w14:paraId="78CB48F5" w14:textId="77777777" w:rsidR="00562DDA" w:rsidRDefault="00562DDA" w:rsidP="008309E6">
      <w:pPr>
        <w:ind w:left="1440"/>
        <w:rPr>
          <w:rFonts w:ascii="Cambria" w:hAnsi="Cambria"/>
          <w:lang w:val="id-ID"/>
        </w:rPr>
      </w:pPr>
    </w:p>
    <w:p w14:paraId="4F5F0302" w14:textId="77777777" w:rsidR="00106D0A" w:rsidRDefault="00106D0A" w:rsidP="00F434D5">
      <w:pPr>
        <w:rPr>
          <w:rFonts w:ascii="Cambria" w:hAnsi="Cambria"/>
          <w:lang w:val="id-ID"/>
        </w:rPr>
      </w:pPr>
    </w:p>
    <w:p w14:paraId="76F4EFC1" w14:textId="77777777" w:rsidR="00F434D5" w:rsidRDefault="00F434D5" w:rsidP="00F434D5">
      <w:pPr>
        <w:rPr>
          <w:rFonts w:ascii="Cambria" w:hAnsi="Cambria"/>
          <w:lang w:val="id-ID"/>
        </w:rPr>
      </w:pPr>
    </w:p>
    <w:p w14:paraId="3A24C5F4" w14:textId="77777777" w:rsidR="00F434D5" w:rsidRDefault="00F434D5" w:rsidP="00F434D5">
      <w:pPr>
        <w:rPr>
          <w:rFonts w:ascii="Cambria" w:hAnsi="Cambria"/>
          <w:lang w:val="id-ID"/>
        </w:rPr>
      </w:pPr>
    </w:p>
    <w:p w14:paraId="18437F7F" w14:textId="77777777" w:rsidR="00106D0A" w:rsidRDefault="00106D0A" w:rsidP="008309E6">
      <w:pPr>
        <w:ind w:left="1440"/>
        <w:rPr>
          <w:rFonts w:ascii="Cambria" w:hAnsi="Cambria"/>
          <w:lang w:val="id-ID"/>
        </w:rPr>
      </w:pPr>
    </w:p>
    <w:p w14:paraId="58ADC806" w14:textId="4CE486CD" w:rsidR="00BE096A" w:rsidRDefault="007E3513" w:rsidP="00BE096A">
      <w:pPr>
        <w:spacing w:after="80"/>
        <w:rPr>
          <w:rFonts w:ascii="Cambria" w:hAnsi="Cambria"/>
          <w:sz w:val="18"/>
          <w:szCs w:val="18"/>
          <w:lang w:val="id-ID"/>
        </w:rPr>
      </w:pPr>
      <w:r>
        <w:rPr>
          <w:rFonts w:ascii="Cambria" w:hAnsi="Cambria"/>
          <w:sz w:val="18"/>
          <w:szCs w:val="18"/>
          <w:lang w:val="id-ID"/>
        </w:rPr>
        <w:t>------------------------------------------------------------------------------------------------------------------------------------------------------------</w:t>
      </w:r>
    </w:p>
    <w:p w14:paraId="32DDBC58" w14:textId="72E85E10" w:rsidR="00562DDA" w:rsidRPr="00BE096A" w:rsidRDefault="00562DDA" w:rsidP="00BE096A">
      <w:pPr>
        <w:spacing w:after="80"/>
        <w:rPr>
          <w:rFonts w:ascii="Cambria" w:hAnsi="Cambria"/>
          <w:b/>
          <w:bCs/>
          <w:sz w:val="20"/>
          <w:szCs w:val="20"/>
          <w:lang w:val="id-ID"/>
        </w:rPr>
      </w:pPr>
      <w:r w:rsidRPr="00BE096A">
        <w:rPr>
          <w:rFonts w:ascii="Cambria" w:hAnsi="Cambria"/>
          <w:b/>
          <w:bCs/>
          <w:sz w:val="20"/>
          <w:szCs w:val="20"/>
          <w:lang w:val="id-ID"/>
        </w:rPr>
        <w:t>NEXT Indonesia Center</w:t>
      </w:r>
    </w:p>
    <w:p w14:paraId="77A93F71" w14:textId="576D8233" w:rsidR="00562DDA" w:rsidRPr="00562DDA" w:rsidRDefault="00562DDA" w:rsidP="00BE096A">
      <w:pPr>
        <w:spacing w:after="80"/>
        <w:rPr>
          <w:rFonts w:ascii="Cambria" w:hAnsi="Cambria"/>
          <w:sz w:val="18"/>
          <w:szCs w:val="18"/>
          <w:lang w:val="id-ID"/>
        </w:rPr>
      </w:pPr>
      <w:r w:rsidRPr="00562DDA">
        <w:rPr>
          <w:rFonts w:ascii="Cambria" w:hAnsi="Cambria"/>
          <w:sz w:val="18"/>
          <w:szCs w:val="18"/>
          <w:lang w:val="id-ID"/>
        </w:rPr>
        <w:t xml:space="preserve">NEXT Indonesia Center adalah lembaga independen dengan konsentrasi di bidang riset dan publikasi. Kami menggabungkan disiplin jurnalistik sebagai penyajian dan disiplin akademik sebagai panduan dalam melakukan riset. </w:t>
      </w:r>
    </w:p>
    <w:p w14:paraId="32F3CAE9" w14:textId="77777777" w:rsidR="00562DDA" w:rsidRPr="00562DDA" w:rsidRDefault="00562DDA" w:rsidP="00BE096A">
      <w:pPr>
        <w:spacing w:after="80"/>
        <w:rPr>
          <w:rFonts w:ascii="Cambria" w:hAnsi="Cambria"/>
          <w:sz w:val="18"/>
          <w:szCs w:val="18"/>
          <w:lang w:val="id-ID"/>
        </w:rPr>
      </w:pPr>
      <w:r w:rsidRPr="00562DDA">
        <w:rPr>
          <w:rFonts w:ascii="Cambria" w:hAnsi="Cambria"/>
          <w:sz w:val="18"/>
          <w:szCs w:val="18"/>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5D77A3A2" w14:textId="77777777" w:rsidR="00BE096A" w:rsidRPr="00BE096A" w:rsidRDefault="00BE096A" w:rsidP="00BE096A">
      <w:pPr>
        <w:spacing w:after="80"/>
        <w:rPr>
          <w:rFonts w:ascii="Cambria" w:hAnsi="Cambria"/>
          <w:b/>
          <w:sz w:val="18"/>
          <w:szCs w:val="18"/>
          <w:lang w:val="en-ID"/>
        </w:rPr>
      </w:pPr>
      <w:r w:rsidRPr="00BE096A">
        <w:rPr>
          <w:rFonts w:ascii="Cambria" w:hAnsi="Cambria"/>
          <w:b/>
          <w:sz w:val="18"/>
          <w:szCs w:val="18"/>
          <w:lang w:val="en-ID"/>
        </w:rPr>
        <w:t>Narahubung:</w:t>
      </w:r>
    </w:p>
    <w:p w14:paraId="51CD5E49" w14:textId="5FFD757C" w:rsidR="00BE096A" w:rsidRPr="00BE096A" w:rsidRDefault="00BE096A" w:rsidP="00BE096A">
      <w:pPr>
        <w:spacing w:after="80"/>
        <w:rPr>
          <w:rFonts w:ascii="Cambria" w:hAnsi="Cambria"/>
          <w:sz w:val="20"/>
          <w:szCs w:val="20"/>
          <w:lang w:val="en-ID"/>
        </w:rPr>
      </w:pPr>
      <w:r w:rsidRPr="00BE096A">
        <w:rPr>
          <w:rFonts w:ascii="Cambria" w:hAnsi="Cambria"/>
          <w:sz w:val="20"/>
          <w:szCs w:val="20"/>
          <w:lang w:val="en-ID"/>
        </w:rPr>
        <w:t>R</w:t>
      </w:r>
      <w:r w:rsidRPr="00BE096A">
        <w:rPr>
          <w:rFonts w:ascii="Cambria" w:hAnsi="Cambria"/>
          <w:sz w:val="20"/>
          <w:szCs w:val="20"/>
          <w:lang w:val="en-ID"/>
        </w:rPr>
        <w:t xml:space="preserve">esearch </w:t>
      </w:r>
      <w:r w:rsidRPr="00BE096A">
        <w:rPr>
          <w:rFonts w:ascii="Cambria" w:hAnsi="Cambria"/>
          <w:sz w:val="20"/>
          <w:szCs w:val="20"/>
          <w:lang w:val="en-ID"/>
        </w:rPr>
        <w:t>C</w:t>
      </w:r>
      <w:r w:rsidRPr="00BE096A">
        <w:rPr>
          <w:rFonts w:ascii="Cambria" w:hAnsi="Cambria"/>
          <w:sz w:val="20"/>
          <w:szCs w:val="20"/>
          <w:lang w:val="en-ID"/>
        </w:rPr>
        <w:t>oordinator</w:t>
      </w:r>
      <w:r w:rsidRPr="00BE096A">
        <w:rPr>
          <w:rFonts w:ascii="Cambria" w:hAnsi="Cambria"/>
          <w:sz w:val="20"/>
          <w:szCs w:val="20"/>
          <w:lang w:val="en-ID"/>
        </w:rPr>
        <w:t xml:space="preserve"> Next Indonesia Center</w:t>
      </w:r>
      <w:r w:rsidRPr="00BE096A">
        <w:rPr>
          <w:rFonts w:ascii="Cambria" w:hAnsi="Cambria"/>
          <w:sz w:val="20"/>
          <w:szCs w:val="20"/>
          <w:lang w:val="en-ID"/>
        </w:rPr>
        <w:t xml:space="preserve">, </w:t>
      </w:r>
      <w:r w:rsidRPr="00BE096A">
        <w:rPr>
          <w:rFonts w:ascii="Cambria" w:hAnsi="Cambria"/>
          <w:sz w:val="20"/>
          <w:szCs w:val="20"/>
          <w:lang w:val="en-ID"/>
        </w:rPr>
        <w:t>Dera Endah</w:t>
      </w:r>
    </w:p>
    <w:p w14:paraId="7D1553D5" w14:textId="0C3E4199" w:rsidR="00562DDA" w:rsidRPr="00BE096A" w:rsidRDefault="00BE096A" w:rsidP="00BE096A">
      <w:pPr>
        <w:spacing w:after="80"/>
        <w:rPr>
          <w:rFonts w:ascii="Cambria" w:hAnsi="Cambria"/>
          <w:sz w:val="18"/>
          <w:szCs w:val="18"/>
          <w:lang w:val="en-ID"/>
        </w:rPr>
      </w:pPr>
      <w:r w:rsidRPr="00BE096A">
        <w:rPr>
          <w:rFonts w:ascii="Cambria" w:hAnsi="Cambria"/>
          <w:sz w:val="18"/>
          <w:szCs w:val="18"/>
          <w:lang w:val="en-ID"/>
        </w:rPr>
        <w:t>Phone:</w:t>
      </w:r>
      <w:r w:rsidRPr="00BE096A">
        <w:rPr>
          <w:rFonts w:ascii="Cambria" w:hAnsi="Cambria"/>
          <w:sz w:val="18"/>
          <w:szCs w:val="18"/>
          <w:lang w:val="en-ID"/>
        </w:rPr>
        <w:t xml:space="preserve"> </w:t>
      </w:r>
      <w:hyperlink r:id="rId8" w:history="1">
        <w:r w:rsidRPr="00BE096A">
          <w:rPr>
            <w:rStyle w:val="Hyperlink"/>
            <w:rFonts w:ascii="Cambria" w:hAnsi="Cambria"/>
            <w:sz w:val="18"/>
            <w:szCs w:val="18"/>
            <w:u w:val="none"/>
          </w:rPr>
          <w:t>+62 823-1016-5120</w:t>
        </w:r>
      </w:hyperlink>
    </w:p>
    <w:sectPr w:rsidR="00562DDA" w:rsidRPr="00BE096A" w:rsidSect="007E3513">
      <w:headerReference w:type="default" r:id="rId9"/>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D2164" w14:textId="77777777" w:rsidR="00736375" w:rsidRDefault="00736375" w:rsidP="00562DDA">
      <w:pPr>
        <w:spacing w:after="0" w:line="240" w:lineRule="auto"/>
      </w:pPr>
      <w:r>
        <w:separator/>
      </w:r>
    </w:p>
  </w:endnote>
  <w:endnote w:type="continuationSeparator" w:id="0">
    <w:p w14:paraId="26712FAC" w14:textId="77777777" w:rsidR="00736375" w:rsidRDefault="00736375" w:rsidP="00562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A863" w14:textId="77777777" w:rsidR="00736375" w:rsidRDefault="00736375" w:rsidP="00562DDA">
      <w:pPr>
        <w:spacing w:after="0" w:line="240" w:lineRule="auto"/>
      </w:pPr>
      <w:r>
        <w:separator/>
      </w:r>
    </w:p>
  </w:footnote>
  <w:footnote w:type="continuationSeparator" w:id="0">
    <w:p w14:paraId="0703D681" w14:textId="77777777" w:rsidR="00736375" w:rsidRDefault="00736375" w:rsidP="00562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3EEF" w14:textId="65FBE066" w:rsidR="00562DDA" w:rsidRPr="00562DDA" w:rsidRDefault="00562DDA" w:rsidP="00562DDA">
    <w:pPr>
      <w:pStyle w:val="Header"/>
      <w:jc w:val="right"/>
      <w:rPr>
        <w:b/>
        <w:bCs/>
        <w:sz w:val="18"/>
        <w:szCs w:val="18"/>
      </w:rPr>
    </w:pPr>
    <w:r>
      <w:rPr>
        <w:noProof/>
      </w:rPr>
      <w:drawing>
        <wp:anchor distT="0" distB="0" distL="114300" distR="114300" simplePos="0" relativeHeight="251658240" behindDoc="0" locked="0" layoutInCell="1" allowOverlap="1" wp14:anchorId="14DE86A1" wp14:editId="2A00994F">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562DDA">
      <w:rPr>
        <w:b/>
        <w:bCs/>
        <w:sz w:val="18"/>
        <w:szCs w:val="18"/>
      </w:rPr>
      <w:t>Siaran Pers</w:t>
    </w:r>
  </w:p>
  <w:p w14:paraId="6DD2269A" w14:textId="6FFC3CFC" w:rsidR="00562DDA" w:rsidRPr="00562DDA" w:rsidRDefault="00562DDA" w:rsidP="00562DDA">
    <w:pPr>
      <w:pStyle w:val="Header"/>
      <w:jc w:val="right"/>
      <w:rPr>
        <w:sz w:val="18"/>
        <w:szCs w:val="18"/>
      </w:rPr>
    </w:pPr>
    <w:r w:rsidRPr="00562DDA">
      <w:rPr>
        <w:sz w:val="18"/>
        <w:szCs w:val="18"/>
      </w:rPr>
      <w:t>Untuk Segera Disiarkan</w:t>
    </w:r>
  </w:p>
  <w:p w14:paraId="6C17CAC5" w14:textId="4B6562E1" w:rsidR="00562DDA" w:rsidRDefault="00562DDA" w:rsidP="00562DDA">
    <w:pPr>
      <w:pStyle w:val="Header"/>
      <w:jc w:val="right"/>
    </w:pPr>
    <w:r w:rsidRPr="00562DDA">
      <w:rPr>
        <w:sz w:val="18"/>
        <w:szCs w:val="18"/>
      </w:rPr>
      <w:t>Minggu, 9 Maret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E8"/>
    <w:rsid w:val="00106D0A"/>
    <w:rsid w:val="00265C95"/>
    <w:rsid w:val="00303174"/>
    <w:rsid w:val="00344ED0"/>
    <w:rsid w:val="00352B9C"/>
    <w:rsid w:val="00355B9D"/>
    <w:rsid w:val="003E6379"/>
    <w:rsid w:val="00446615"/>
    <w:rsid w:val="004601C5"/>
    <w:rsid w:val="00540FAD"/>
    <w:rsid w:val="00562DDA"/>
    <w:rsid w:val="00736375"/>
    <w:rsid w:val="00794CB2"/>
    <w:rsid w:val="007E3513"/>
    <w:rsid w:val="0082126C"/>
    <w:rsid w:val="008309E6"/>
    <w:rsid w:val="00967C76"/>
    <w:rsid w:val="00A14FFE"/>
    <w:rsid w:val="00A633BC"/>
    <w:rsid w:val="00AC47BB"/>
    <w:rsid w:val="00B30971"/>
    <w:rsid w:val="00B6798E"/>
    <w:rsid w:val="00BA086A"/>
    <w:rsid w:val="00BE096A"/>
    <w:rsid w:val="00C61145"/>
    <w:rsid w:val="00C63B15"/>
    <w:rsid w:val="00CB6CCA"/>
    <w:rsid w:val="00CB704A"/>
    <w:rsid w:val="00D146FC"/>
    <w:rsid w:val="00DC12E8"/>
    <w:rsid w:val="00DE6A38"/>
    <w:rsid w:val="00E054AC"/>
    <w:rsid w:val="00EB16E8"/>
    <w:rsid w:val="00EC2362"/>
    <w:rsid w:val="00EE7BF7"/>
    <w:rsid w:val="00F434D5"/>
    <w:rsid w:val="00F90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0055C"/>
  <w15:chartTrackingRefBased/>
  <w15:docId w15:val="{24031660-9196-7F4F-AF29-F4D356F0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2E8"/>
    <w:pPr>
      <w:spacing w:after="160" w:line="259" w:lineRule="auto"/>
    </w:pPr>
    <w:rPr>
      <w:sz w:val="22"/>
      <w:szCs w:val="22"/>
    </w:rPr>
  </w:style>
  <w:style w:type="paragraph" w:styleId="Heading1">
    <w:name w:val="heading 1"/>
    <w:basedOn w:val="Normal"/>
    <w:next w:val="Normal"/>
    <w:link w:val="Heading1Char"/>
    <w:uiPriority w:val="9"/>
    <w:qFormat/>
    <w:rsid w:val="00DC12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12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12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12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12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12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2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2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2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615"/>
    <w:pPr>
      <w:ind w:left="720"/>
      <w:contextualSpacing/>
    </w:pPr>
  </w:style>
  <w:style w:type="character" w:customStyle="1" w:styleId="Heading1Char">
    <w:name w:val="Heading 1 Char"/>
    <w:basedOn w:val="DefaultParagraphFont"/>
    <w:link w:val="Heading1"/>
    <w:uiPriority w:val="9"/>
    <w:rsid w:val="00DC12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12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12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12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12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1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2E8"/>
    <w:rPr>
      <w:rFonts w:eastAsiaTheme="majorEastAsia" w:cstheme="majorBidi"/>
      <w:color w:val="272727" w:themeColor="text1" w:themeTint="D8"/>
    </w:rPr>
  </w:style>
  <w:style w:type="paragraph" w:styleId="Title">
    <w:name w:val="Title"/>
    <w:basedOn w:val="Normal"/>
    <w:next w:val="Normal"/>
    <w:link w:val="TitleChar"/>
    <w:uiPriority w:val="10"/>
    <w:qFormat/>
    <w:rsid w:val="00DC12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2E8"/>
    <w:pPr>
      <w:spacing w:before="160"/>
      <w:jc w:val="center"/>
    </w:pPr>
    <w:rPr>
      <w:i/>
      <w:iCs/>
      <w:color w:val="404040" w:themeColor="text1" w:themeTint="BF"/>
    </w:rPr>
  </w:style>
  <w:style w:type="character" w:customStyle="1" w:styleId="QuoteChar">
    <w:name w:val="Quote Char"/>
    <w:basedOn w:val="DefaultParagraphFont"/>
    <w:link w:val="Quote"/>
    <w:uiPriority w:val="29"/>
    <w:rsid w:val="00DC12E8"/>
    <w:rPr>
      <w:i/>
      <w:iCs/>
      <w:color w:val="404040" w:themeColor="text1" w:themeTint="BF"/>
    </w:rPr>
  </w:style>
  <w:style w:type="character" w:styleId="IntenseEmphasis">
    <w:name w:val="Intense Emphasis"/>
    <w:basedOn w:val="DefaultParagraphFont"/>
    <w:uiPriority w:val="21"/>
    <w:qFormat/>
    <w:rsid w:val="00DC12E8"/>
    <w:rPr>
      <w:i/>
      <w:iCs/>
      <w:color w:val="2F5496" w:themeColor="accent1" w:themeShade="BF"/>
    </w:rPr>
  </w:style>
  <w:style w:type="paragraph" w:styleId="IntenseQuote">
    <w:name w:val="Intense Quote"/>
    <w:basedOn w:val="Normal"/>
    <w:next w:val="Normal"/>
    <w:link w:val="IntenseQuoteChar"/>
    <w:uiPriority w:val="30"/>
    <w:qFormat/>
    <w:rsid w:val="00DC12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12E8"/>
    <w:rPr>
      <w:i/>
      <w:iCs/>
      <w:color w:val="2F5496" w:themeColor="accent1" w:themeShade="BF"/>
    </w:rPr>
  </w:style>
  <w:style w:type="character" w:styleId="IntenseReference">
    <w:name w:val="Intense Reference"/>
    <w:basedOn w:val="DefaultParagraphFont"/>
    <w:uiPriority w:val="32"/>
    <w:qFormat/>
    <w:rsid w:val="00DC12E8"/>
    <w:rPr>
      <w:b/>
      <w:bCs/>
      <w:smallCaps/>
      <w:color w:val="2F5496" w:themeColor="accent1" w:themeShade="BF"/>
      <w:spacing w:val="5"/>
    </w:rPr>
  </w:style>
  <w:style w:type="paragraph" w:styleId="Header">
    <w:name w:val="header"/>
    <w:basedOn w:val="Normal"/>
    <w:link w:val="HeaderChar"/>
    <w:uiPriority w:val="99"/>
    <w:unhideWhenUsed/>
    <w:rsid w:val="00562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DDA"/>
    <w:rPr>
      <w:sz w:val="22"/>
      <w:szCs w:val="22"/>
    </w:rPr>
  </w:style>
  <w:style w:type="paragraph" w:styleId="Footer">
    <w:name w:val="footer"/>
    <w:basedOn w:val="Normal"/>
    <w:link w:val="FooterChar"/>
    <w:uiPriority w:val="99"/>
    <w:unhideWhenUsed/>
    <w:rsid w:val="00562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DDA"/>
    <w:rPr>
      <w:sz w:val="22"/>
      <w:szCs w:val="22"/>
    </w:rPr>
  </w:style>
  <w:style w:type="character" w:styleId="Hyperlink">
    <w:name w:val="Hyperlink"/>
    <w:basedOn w:val="DefaultParagraphFont"/>
    <w:uiPriority w:val="99"/>
    <w:unhideWhenUsed/>
    <w:rsid w:val="00BE096A"/>
    <w:rPr>
      <w:color w:val="0563C1" w:themeColor="hyperlink"/>
      <w:u w:val="single"/>
    </w:rPr>
  </w:style>
  <w:style w:type="character" w:styleId="UnresolvedMention">
    <w:name w:val="Unresolved Mention"/>
    <w:basedOn w:val="DefaultParagraphFont"/>
    <w:uiPriority w:val="99"/>
    <w:semiHidden/>
    <w:unhideWhenUsed/>
    <w:rsid w:val="00BE0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5884">
      <w:bodyDiv w:val="1"/>
      <w:marLeft w:val="0"/>
      <w:marRight w:val="0"/>
      <w:marTop w:val="0"/>
      <w:marBottom w:val="0"/>
      <w:divBdr>
        <w:top w:val="none" w:sz="0" w:space="0" w:color="auto"/>
        <w:left w:val="none" w:sz="0" w:space="0" w:color="auto"/>
        <w:bottom w:val="none" w:sz="0" w:space="0" w:color="auto"/>
        <w:right w:val="none" w:sz="0" w:space="0" w:color="auto"/>
      </w:divBdr>
    </w:div>
    <w:div w:id="533233450">
      <w:bodyDiv w:val="1"/>
      <w:marLeft w:val="0"/>
      <w:marRight w:val="0"/>
      <w:marTop w:val="0"/>
      <w:marBottom w:val="0"/>
      <w:divBdr>
        <w:top w:val="none" w:sz="0" w:space="0" w:color="auto"/>
        <w:left w:val="none" w:sz="0" w:space="0" w:color="auto"/>
        <w:bottom w:val="none" w:sz="0" w:space="0" w:color="auto"/>
        <w:right w:val="none" w:sz="0" w:space="0" w:color="auto"/>
      </w:divBdr>
    </w:div>
    <w:div w:id="861557569">
      <w:bodyDiv w:val="1"/>
      <w:marLeft w:val="0"/>
      <w:marRight w:val="0"/>
      <w:marTop w:val="0"/>
      <w:marBottom w:val="0"/>
      <w:divBdr>
        <w:top w:val="none" w:sz="0" w:space="0" w:color="auto"/>
        <w:left w:val="none" w:sz="0" w:space="0" w:color="auto"/>
        <w:bottom w:val="none" w:sz="0" w:space="0" w:color="auto"/>
        <w:right w:val="none" w:sz="0" w:space="0" w:color="auto"/>
      </w:divBdr>
    </w:div>
    <w:div w:id="1419328479">
      <w:bodyDiv w:val="1"/>
      <w:marLeft w:val="0"/>
      <w:marRight w:val="0"/>
      <w:marTop w:val="0"/>
      <w:marBottom w:val="0"/>
      <w:divBdr>
        <w:top w:val="none" w:sz="0" w:space="0" w:color="auto"/>
        <w:left w:val="none" w:sz="0" w:space="0" w:color="auto"/>
        <w:bottom w:val="none" w:sz="0" w:space="0" w:color="auto"/>
        <w:right w:val="none" w:sz="0" w:space="0" w:color="auto"/>
      </w:divBdr>
    </w:div>
    <w:div w:id="213394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alto:+012(345)67899" TargetMode="Externa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Users\herrygunawan\Downloads\20250224%20Kab-Kota%20Dengan%20Kemandirian%20Fiskal%20Tertinggi%20dan%20Terendah_value%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200" b="1">
                <a:latin typeface="Cambria" panose="02040503050406030204" pitchFamily="18" charset="0"/>
              </a:rPr>
              <a:t>Komposisi Penerimaan Daerah</a:t>
            </a:r>
          </a:p>
          <a:p>
            <a:pPr>
              <a:defRPr/>
            </a:pPr>
            <a:r>
              <a:rPr lang="en-ID" sz="1200" b="1">
                <a:latin typeface="Cambria" panose="02040503050406030204" pitchFamily="18" charset="0"/>
              </a:rPr>
              <a:t>(Rp Miliar)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0"/>
          <c:tx>
            <c:strRef>
              <c:f>'Data Visual'!$C$17</c:f>
              <c:strCache>
                <c:ptCount val="1"/>
                <c:pt idx="0">
                  <c:v>Pendapatan Asli Daerah (PAD)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 Visual'!$D$15:$E$15</c:f>
              <c:strCache>
                <c:ptCount val="2"/>
                <c:pt idx="0">
                  <c:v>Realisasi Tahun 2023</c:v>
                </c:pt>
                <c:pt idx="1">
                  <c:v>Realisasi Tahun 2024</c:v>
                </c:pt>
              </c:strCache>
            </c:strRef>
          </c:cat>
          <c:val>
            <c:numRef>
              <c:f>'Data Visual'!$D$17:$E$17</c:f>
              <c:numCache>
                <c:formatCode>_(* #,##0_);_(* \(#,##0\);_(* "-"??_);_(@_)</c:formatCode>
                <c:ptCount val="2"/>
                <c:pt idx="0">
                  <c:v>154504.24999999994</c:v>
                </c:pt>
                <c:pt idx="1">
                  <c:v>153239.61000000002</c:v>
                </c:pt>
              </c:numCache>
            </c:numRef>
          </c:val>
          <c:extLst>
            <c:ext xmlns:c16="http://schemas.microsoft.com/office/drawing/2014/chart" uri="{C3380CC4-5D6E-409C-BE32-E72D297353CC}">
              <c16:uniqueId val="{00000000-3900-40C0-9760-2070CCE4DBB4}"/>
            </c:ext>
          </c:extLst>
        </c:ser>
        <c:ser>
          <c:idx val="2"/>
          <c:order val="1"/>
          <c:tx>
            <c:strRef>
              <c:f>'Data Visual'!$C$18</c:f>
              <c:strCache>
                <c:ptCount val="1"/>
                <c:pt idx="0">
                  <c:v>Dari Pemerintah Pusat (TKDD: Transfer ke Daerah dan Dana Desa)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 Visual'!$D$15:$E$15</c:f>
              <c:strCache>
                <c:ptCount val="2"/>
                <c:pt idx="0">
                  <c:v>Realisasi Tahun 2023</c:v>
                </c:pt>
                <c:pt idx="1">
                  <c:v>Realisasi Tahun 2024</c:v>
                </c:pt>
              </c:strCache>
            </c:strRef>
          </c:cat>
          <c:val>
            <c:numRef>
              <c:f>'Data Visual'!$D$18:$E$18</c:f>
              <c:numCache>
                <c:formatCode>_(* #,##0_);_(* \(#,##0\);_(* "-"??_);_(@_)</c:formatCode>
                <c:ptCount val="2"/>
                <c:pt idx="0">
                  <c:v>657890.42000000004</c:v>
                </c:pt>
                <c:pt idx="1">
                  <c:v>657958.20999999973</c:v>
                </c:pt>
              </c:numCache>
            </c:numRef>
          </c:val>
          <c:extLst>
            <c:ext xmlns:c16="http://schemas.microsoft.com/office/drawing/2014/chart" uri="{C3380CC4-5D6E-409C-BE32-E72D297353CC}">
              <c16:uniqueId val="{00000001-3900-40C0-9760-2070CCE4DBB4}"/>
            </c:ext>
          </c:extLst>
        </c:ser>
        <c:ser>
          <c:idx val="3"/>
          <c:order val="2"/>
          <c:tx>
            <c:strRef>
              <c:f>'Data Visual'!$C$19</c:f>
              <c:strCache>
                <c:ptCount val="1"/>
                <c:pt idx="0">
                  <c:v>Pendapatan Lainnya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 Visual'!$D$15:$E$15</c:f>
              <c:strCache>
                <c:ptCount val="2"/>
                <c:pt idx="0">
                  <c:v>Realisasi Tahun 2023</c:v>
                </c:pt>
                <c:pt idx="1">
                  <c:v>Realisasi Tahun 2024</c:v>
                </c:pt>
              </c:strCache>
            </c:strRef>
          </c:cat>
          <c:val>
            <c:numRef>
              <c:f>'Data Visual'!$D$19:$E$19</c:f>
              <c:numCache>
                <c:formatCode>_(* #,##0_);_(* \(#,##0\);_(* "-"??_);_(@_)</c:formatCode>
                <c:ptCount val="2"/>
                <c:pt idx="0">
                  <c:v>81169.579999999987</c:v>
                </c:pt>
                <c:pt idx="1">
                  <c:v>67017.479999999967</c:v>
                </c:pt>
              </c:numCache>
            </c:numRef>
          </c:val>
          <c:extLst>
            <c:ext xmlns:c16="http://schemas.microsoft.com/office/drawing/2014/chart" uri="{C3380CC4-5D6E-409C-BE32-E72D297353CC}">
              <c16:uniqueId val="{00000002-3900-40C0-9760-2070CCE4DBB4}"/>
            </c:ext>
          </c:extLst>
        </c:ser>
        <c:dLbls>
          <c:showLegendKey val="0"/>
          <c:showVal val="0"/>
          <c:showCatName val="0"/>
          <c:showSerName val="0"/>
          <c:showPercent val="0"/>
          <c:showBubbleSize val="0"/>
        </c:dLbls>
        <c:gapWidth val="150"/>
        <c:overlap val="100"/>
        <c:axId val="596037776"/>
        <c:axId val="596042576"/>
      </c:barChart>
      <c:catAx>
        <c:axId val="596037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042576"/>
        <c:crosses val="autoZero"/>
        <c:auto val="1"/>
        <c:lblAlgn val="ctr"/>
        <c:lblOffset val="100"/>
        <c:noMultiLvlLbl val="0"/>
      </c:catAx>
      <c:valAx>
        <c:axId val="596042576"/>
        <c:scaling>
          <c:orientation val="minMax"/>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037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061B8-2384-4033-AF92-51DE95512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dc:creator>
  <cp:keywords/>
  <dc:description/>
  <cp:lastModifiedBy>rezky reza pratama</cp:lastModifiedBy>
  <cp:revision>4</cp:revision>
  <dcterms:created xsi:type="dcterms:W3CDTF">2025-03-08T14:56:00Z</dcterms:created>
  <dcterms:modified xsi:type="dcterms:W3CDTF">2025-03-08T15:05:00Z</dcterms:modified>
</cp:coreProperties>
</file>