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7190" w14:textId="77777777" w:rsidR="00523DEC" w:rsidRPr="00426346" w:rsidRDefault="00523DEC" w:rsidP="00523DEC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426346">
        <w:rPr>
          <w:b/>
          <w:bCs/>
          <w:sz w:val="28"/>
          <w:szCs w:val="28"/>
          <w:lang w:val="id-ID"/>
        </w:rPr>
        <w:t>Tiga Sinyal Penting dari Pertumbuhan Ekonomi</w:t>
      </w:r>
    </w:p>
    <w:p w14:paraId="40FA5A42" w14:textId="77777777" w:rsidR="00523DEC" w:rsidRPr="006F15D5" w:rsidRDefault="00523DEC" w:rsidP="00523DEC">
      <w:pPr>
        <w:spacing w:line="276" w:lineRule="auto"/>
        <w:jc w:val="both"/>
        <w:rPr>
          <w:lang w:val="id-ID"/>
        </w:rPr>
      </w:pPr>
    </w:p>
    <w:p w14:paraId="5F65719D" w14:textId="77777777" w:rsidR="00523DEC" w:rsidRDefault="00523DEC" w:rsidP="00523DEC">
      <w:pPr>
        <w:spacing w:line="276" w:lineRule="auto"/>
        <w:jc w:val="both"/>
        <w:rPr>
          <w:lang w:val="id-ID"/>
        </w:rPr>
      </w:pPr>
      <w:r w:rsidRPr="006F15D5">
        <w:rPr>
          <w:lang w:val="id-ID"/>
        </w:rPr>
        <w:t>JAKARTA – Kinerja perekonomian nasional pada kuartal II-2025 sedikitnya memberikan tiga sinyal penting</w:t>
      </w:r>
      <w:r>
        <w:rPr>
          <w:lang w:val="id-ID"/>
        </w:rPr>
        <w:t xml:space="preserve"> yang membantah beragam kekhawatiran masyarakat</w:t>
      </w:r>
      <w:r w:rsidRPr="006F15D5">
        <w:rPr>
          <w:lang w:val="id-ID"/>
        </w:rPr>
        <w:t>.</w:t>
      </w:r>
      <w:r>
        <w:rPr>
          <w:lang w:val="id-ID"/>
        </w:rPr>
        <w:t xml:space="preserve"> Ketiga indikator tersebut, yakni belanja masyarakat yang diperlihatkan melalui konsumsi rumah tangga, industri pengolahan, dan investasi atau pembentukan modal tetap bruto.</w:t>
      </w:r>
    </w:p>
    <w:p w14:paraId="51C4737E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>Seperti diumumkan Badan Pusat Statistik (BPS) kemarin, perekonomian nasional yang ditunjukkan melalui Produk Domestik Bruto (PDB) tumbuh 5,12% secara tahunan (</w:t>
      </w:r>
      <w:proofErr w:type="spellStart"/>
      <w:r w:rsidRPr="006F15D5">
        <w:rPr>
          <w:i/>
          <w:iCs/>
          <w:lang w:val="id-ID"/>
        </w:rPr>
        <w:t>year</w:t>
      </w:r>
      <w:proofErr w:type="spellEnd"/>
      <w:r w:rsidRPr="006F15D5">
        <w:rPr>
          <w:i/>
          <w:iCs/>
          <w:lang w:val="id-ID"/>
        </w:rPr>
        <w:t xml:space="preserve"> </w:t>
      </w:r>
      <w:proofErr w:type="spellStart"/>
      <w:r w:rsidRPr="006F15D5">
        <w:rPr>
          <w:i/>
          <w:iCs/>
          <w:lang w:val="id-ID"/>
        </w:rPr>
        <w:t>on</w:t>
      </w:r>
      <w:proofErr w:type="spellEnd"/>
      <w:r w:rsidRPr="006F15D5">
        <w:rPr>
          <w:i/>
          <w:iCs/>
          <w:lang w:val="id-ID"/>
        </w:rPr>
        <w:t xml:space="preserve"> </w:t>
      </w:r>
      <w:proofErr w:type="spellStart"/>
      <w:r w:rsidRPr="006F15D5">
        <w:rPr>
          <w:i/>
          <w:iCs/>
          <w:lang w:val="id-ID"/>
        </w:rPr>
        <w:t>year</w:t>
      </w:r>
      <w:proofErr w:type="spellEnd"/>
      <w:r>
        <w:rPr>
          <w:lang w:val="id-ID"/>
        </w:rPr>
        <w:t xml:space="preserve">,  </w:t>
      </w:r>
      <w:proofErr w:type="spellStart"/>
      <w:r>
        <w:rPr>
          <w:lang w:val="id-ID"/>
        </w:rPr>
        <w:t>yoy</w:t>
      </w:r>
      <w:proofErr w:type="spellEnd"/>
      <w:r>
        <w:rPr>
          <w:lang w:val="id-ID"/>
        </w:rPr>
        <w:t xml:space="preserve">). “Ada tiga hal yang menarik dari pengumuman BPS, sekaligus memberikan sinyal baik bagi perekonomian ke depan,” ujar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>, Direktur Eksekutif NEXT Indonesia Center di Jakarta, Rabu (6/8/2025).</w:t>
      </w:r>
    </w:p>
    <w:p w14:paraId="788F9258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>Pertama, kata dia, soal kinerja konsumsi masyarakat yang tumbuh 4,97% (</w:t>
      </w:r>
      <w:proofErr w:type="spellStart"/>
      <w:r>
        <w:rPr>
          <w:lang w:val="id-ID"/>
        </w:rPr>
        <w:t>yoy</w:t>
      </w:r>
      <w:proofErr w:type="spellEnd"/>
      <w:r>
        <w:rPr>
          <w:lang w:val="id-ID"/>
        </w:rPr>
        <w:t>). Dibanding pertumbuhan kuartal I 2025 dan kuartal II 2024, pertumbuhan konsumsi rumah tangga tampak semakin menguat.</w:t>
      </w:r>
    </w:p>
    <w:p w14:paraId="36EE378D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>“Kinerja konsumsi masyarakat yang positif tersebut sekaligus menepis anggapan bahwa daya beli masyarakat sedang turun,” tukasnya.</w:t>
      </w:r>
    </w:p>
    <w:p w14:paraId="6BD5E02E" w14:textId="77777777" w:rsidR="00523DEC" w:rsidRDefault="00523DEC" w:rsidP="00523DEC">
      <w:pPr>
        <w:spacing w:line="276" w:lineRule="auto"/>
        <w:jc w:val="both"/>
        <w:rPr>
          <w:lang w:val="id-ID"/>
        </w:rPr>
      </w:pP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 xml:space="preserve"> menguraikan, penilaian tersebut juga dibuktikan melalui survei penjualan eceran yang dilakukan oleh Bank Indonesia (BI), seperti ditunjukkan melalui Indeks Penjualan Riil (IPR) yang masih ada di atas angka 200 (&lt;100 = pesimis; &gt;100= optimis). Bahkan untuk proyeksi Juni 2025, diperkirakan indeksnya sebesar 233,7, lebih tinggi dari realisasi bulan sebelumnya yang sebesar 232,4. </w:t>
      </w:r>
    </w:p>
    <w:p w14:paraId="07063B40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Lebih lanjut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 xml:space="preserve"> mengungkapkan, secara keseluruhan simpanan masyarakat di bank pada Mei 2025 seperti dicatat oleh Lembaga Penjamin Simpanan, juga mengalami pertumbuhan 4,02% dibandingkan periode yang sama tahun sebelumnya, menjadi Rp9.109 triliun. Pada Mei 2024, total nilainya sebesar Rp8.757 triliun.</w:t>
      </w:r>
    </w:p>
    <w:p w14:paraId="151BC784" w14:textId="77777777" w:rsidR="00523DEC" w:rsidRPr="006F15D5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Secara parsial, simpanan dengan isi rekening rata-rata di bawah Rp100 juta per rekening, tumbuh 3,75%. Perkembangan ini, kata dia, mengisyaratkan bahwa masyarakat masih punya uang dan daya belinya tetap terjaga. “Kemungkinan yang terjadi adalah pola belanja yang mengalami perubahan, sehingga memunculkan istilah </w:t>
      </w:r>
      <w:proofErr w:type="spellStart"/>
      <w:r>
        <w:rPr>
          <w:lang w:val="id-ID"/>
        </w:rPr>
        <w:t>Rojali</w:t>
      </w:r>
      <w:proofErr w:type="spellEnd"/>
      <w:r>
        <w:rPr>
          <w:lang w:val="id-ID"/>
        </w:rPr>
        <w:t xml:space="preserve"> atau rombongan jarang beli dan Rohana atau rombongan hanya </w:t>
      </w:r>
      <w:proofErr w:type="spellStart"/>
      <w:r w:rsidRPr="00EB1801">
        <w:rPr>
          <w:i/>
          <w:iCs/>
          <w:lang w:val="id-ID"/>
        </w:rPr>
        <w:t>nanya-nanya</w:t>
      </w:r>
      <w:proofErr w:type="spellEnd"/>
      <w:r>
        <w:rPr>
          <w:lang w:val="id-ID"/>
        </w:rPr>
        <w:t>,” paparnya.</w:t>
      </w:r>
    </w:p>
    <w:p w14:paraId="65C1CE72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Kedua, kinerja industri pengolahan, lapangan usaha yang per Februari 2025 menyerap 19,6 juta tenaga kerja, tiga terbesar setelah sektor pertanian dan perdagangan. Pada kuartal II-2025, sektor ini tumbuh 5,68% secara tahunan. Bukan hanya lebih baik dari rata-rata pertumbuhan ekonomi nasional, namun pencapaian itu merupakan yang tertinggi dalam empat tahun terakhir atau sejak 2022. </w:t>
      </w:r>
    </w:p>
    <w:p w14:paraId="5719CDCB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>“</w:t>
      </w:r>
      <w:r w:rsidRPr="006F15D5">
        <w:rPr>
          <w:lang w:val="id-ID"/>
        </w:rPr>
        <w:t xml:space="preserve">Membaiknya kinerja sektor pengolahan </w:t>
      </w:r>
      <w:r>
        <w:rPr>
          <w:lang w:val="id-ID"/>
        </w:rPr>
        <w:t xml:space="preserve">ini merupakan kabar bagus, karena </w:t>
      </w:r>
      <w:r w:rsidRPr="006F15D5">
        <w:rPr>
          <w:lang w:val="id-ID"/>
        </w:rPr>
        <w:t xml:space="preserve">diharapkan memberikan gairah </w:t>
      </w:r>
      <w:r>
        <w:rPr>
          <w:lang w:val="id-ID"/>
        </w:rPr>
        <w:t xml:space="preserve">terjadinya </w:t>
      </w:r>
      <w:proofErr w:type="spellStart"/>
      <w:r w:rsidRPr="006F15D5">
        <w:rPr>
          <w:lang w:val="id-ID"/>
        </w:rPr>
        <w:t>reindustrialisasi</w:t>
      </w:r>
      <w:proofErr w:type="spellEnd"/>
      <w:r>
        <w:rPr>
          <w:lang w:val="id-ID"/>
        </w:rPr>
        <w:t xml:space="preserve"> ke depan,” kata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>.</w:t>
      </w:r>
      <w:r w:rsidRPr="006F15D5">
        <w:rPr>
          <w:lang w:val="id-ID"/>
        </w:rPr>
        <w:t>.</w:t>
      </w:r>
    </w:p>
    <w:p w14:paraId="13F8D18C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lastRenderedPageBreak/>
        <w:t>Ketiga yang menarik adalah perkembangan investasi atau pembentukan modal tetap bruto (PMTB). Pada kuartal II-2025, komponen ini tumbuh 6,99% dibandingkan periode yang sama di tahun sebelumnya. Bahkan merupakan yang tertinggi dalam empat tahun terakhir.</w:t>
      </w:r>
    </w:p>
    <w:p w14:paraId="4B8B9172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Jika dilihat dari jenis aset yang diinvestasikan, ungkap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 xml:space="preserve">, komponen </w:t>
      </w:r>
      <w:r w:rsidRPr="00E91B66">
        <w:rPr>
          <w:lang w:val="id-ID"/>
        </w:rPr>
        <w:t>mesin dan perlengkapan</w:t>
      </w:r>
      <w:r>
        <w:rPr>
          <w:lang w:val="id-ID"/>
        </w:rPr>
        <w:t xml:space="preserve"> menjadi pemicu utama dari kenaikan komponen investasi. Di kuartal II  2025,  investasi untuk aset m</w:t>
      </w:r>
      <w:r w:rsidRPr="00E91B66">
        <w:rPr>
          <w:lang w:val="id-ID"/>
        </w:rPr>
        <w:t xml:space="preserve">esin dan </w:t>
      </w:r>
      <w:r>
        <w:rPr>
          <w:lang w:val="id-ID"/>
        </w:rPr>
        <w:t>p</w:t>
      </w:r>
      <w:r w:rsidRPr="00E91B66">
        <w:rPr>
          <w:lang w:val="id-ID"/>
        </w:rPr>
        <w:t>erlengkapan</w:t>
      </w:r>
      <w:r>
        <w:rPr>
          <w:lang w:val="id-ID"/>
        </w:rPr>
        <w:t xml:space="preserve"> tumbuh 25,30% dibandingkan periode yang sama tahun lalu. </w:t>
      </w:r>
    </w:p>
    <w:p w14:paraId="445794FC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Perkembangan tersebut selaras dengan peningkatan yang cukup impresif di sisi produksi </w:t>
      </w:r>
      <w:r w:rsidRPr="00BB68AF">
        <w:rPr>
          <w:lang w:val="id-ID"/>
        </w:rPr>
        <w:t>industri mesin dan perlengkapan</w:t>
      </w:r>
      <w:r>
        <w:rPr>
          <w:lang w:val="id-ID"/>
        </w:rPr>
        <w:t xml:space="preserve"> yang mampu tumbuh 18,75% dan menjadi yang tertinggi dalam 24 tahun terakhir. “Tentu ini kabar baik, karena ekonomi kita didorong tidak hanya oleh konsumsi masyarakat, tetapi juga investasi pada alat produksi,” tegas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>.</w:t>
      </w:r>
    </w:p>
    <w:p w14:paraId="6EFB67D4" w14:textId="77777777" w:rsidR="00523DEC" w:rsidRDefault="00523DEC" w:rsidP="00523DEC">
      <w:pPr>
        <w:spacing w:line="276" w:lineRule="auto"/>
        <w:jc w:val="both"/>
        <w:rPr>
          <w:lang w:val="id-ID"/>
        </w:rPr>
      </w:pPr>
      <w:r>
        <w:rPr>
          <w:lang w:val="id-ID"/>
        </w:rPr>
        <w:t xml:space="preserve">Menurut </w:t>
      </w:r>
      <w:proofErr w:type="spellStart"/>
      <w:r>
        <w:rPr>
          <w:lang w:val="id-ID"/>
        </w:rPr>
        <w:t>Christiantoko</w:t>
      </w:r>
      <w:proofErr w:type="spellEnd"/>
      <w:r>
        <w:rPr>
          <w:lang w:val="id-ID"/>
        </w:rPr>
        <w:t>, kinerja investasi tersebut selaras dengan pengumuman BPS sebelumnya, yakni tingkat pengangguran terbuka pada Februari 2025, yang turun menjadi 4,76% dibandingkan Februari 2024 yang sekitar 4,82%. Kenaikan investasi merupakan potensi besar dalam penyerapan tenaga kerja.</w:t>
      </w:r>
    </w:p>
    <w:p w14:paraId="681BA6E7" w14:textId="3DCB1984" w:rsidR="00523DEC" w:rsidRDefault="00523DEC" w:rsidP="00523D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lang w:val="id-ID"/>
        </w:rPr>
        <w:t>Karena itu, dia mengingatkan agar pemerintah tidak lengah dengan data-data yang dipublikasikan oleh BPS tersebut. “Momentum pertumbuhannya harus dijaga, jangan sampai kendor. Terutama untuk konsumsi rumah tangga dan investasi yang keduanya berkontribusi lebih dari 70% terhadap perekonomian nasional,” tegasnya.</w:t>
      </w:r>
    </w:p>
    <w:p w14:paraId="07DED798" w14:textId="77777777" w:rsidR="00523DEC" w:rsidRPr="00945E9C" w:rsidRDefault="00523DEC" w:rsidP="00523DEC">
      <w:pPr>
        <w:spacing w:after="80"/>
        <w:rPr>
          <w:rFonts w:ascii="Cambria" w:hAnsi="Cambria"/>
          <w:sz w:val="24"/>
          <w:szCs w:val="24"/>
          <w:lang w:val="id-ID"/>
        </w:rPr>
      </w:pPr>
      <w:r w:rsidRPr="00945E9C">
        <w:rPr>
          <w:rFonts w:ascii="Cambria" w:hAnsi="Cambria"/>
          <w:sz w:val="24"/>
          <w:szCs w:val="24"/>
          <w:lang w:val="id-ID"/>
        </w:rPr>
        <w:t>-----------------------------------------------------------------------------------------------------------------</w:t>
      </w:r>
    </w:p>
    <w:p w14:paraId="0B01965F" w14:textId="77777777" w:rsidR="00523DEC" w:rsidRPr="00514CEC" w:rsidRDefault="00523DEC" w:rsidP="00523DEC">
      <w:pPr>
        <w:spacing w:after="80"/>
        <w:rPr>
          <w:rFonts w:ascii="Calibri" w:hAnsi="Calibri" w:cs="Calibri"/>
          <w:b/>
          <w:bCs/>
          <w:sz w:val="20"/>
          <w:szCs w:val="20"/>
          <w:lang w:val="id-ID"/>
        </w:rPr>
      </w:pPr>
      <w:r w:rsidRPr="00514CEC">
        <w:rPr>
          <w:rFonts w:ascii="Calibri" w:hAnsi="Calibri" w:cs="Calibri"/>
          <w:b/>
          <w:bCs/>
          <w:sz w:val="20"/>
          <w:szCs w:val="20"/>
          <w:lang w:val="id-ID"/>
        </w:rPr>
        <w:t>NEXT Indonesia Center</w:t>
      </w:r>
    </w:p>
    <w:p w14:paraId="56F27E2C" w14:textId="77777777" w:rsidR="00523DEC" w:rsidRPr="00514CEC" w:rsidRDefault="00523DEC" w:rsidP="00523DEC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 xml:space="preserve">NEXT Indonesia Center adalah lembaga independen dengan konsentrasi di bidang riset dan publikasi. Kami menggabungkan disiplin jurnalistik sebagai penyajian dan disiplin akademik sebagai panduan dalam melakukan riset. </w:t>
      </w:r>
    </w:p>
    <w:p w14:paraId="2FDF38A6" w14:textId="77777777" w:rsidR="00523DEC" w:rsidRPr="00514CEC" w:rsidRDefault="00523DEC" w:rsidP="00523DEC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>Konsentrasi kegiatan riset dan publikasi kami, terutama di bidang ekonomi, sosial</w:t>
      </w:r>
      <w:r>
        <w:rPr>
          <w:rFonts w:ascii="Calibri" w:hAnsi="Calibri" w:cs="Calibri"/>
          <w:sz w:val="18"/>
          <w:szCs w:val="18"/>
        </w:rPr>
        <w:t xml:space="preserve"> </w:t>
      </w:r>
      <w:r w:rsidRPr="00514CEC">
        <w:rPr>
          <w:rFonts w:ascii="Calibri" w:hAnsi="Calibri" w:cs="Calibri"/>
          <w:sz w:val="18"/>
          <w:szCs w:val="18"/>
          <w:lang w:val="id-ID"/>
        </w:rPr>
        <w:t>dan kebijakan publik. Kami membantu para pemangku kepentingan agar lebih tepat dalam mengambil kebijakan strategis, baik untuk organisasi pemerintah, korporasi, organisasi masyarakat sipil, maupun lembaga lain dan individu.</w:t>
      </w:r>
    </w:p>
    <w:p w14:paraId="218D09E7" w14:textId="77777777" w:rsidR="00523DEC" w:rsidRPr="00514CEC" w:rsidRDefault="00523DEC" w:rsidP="00523DEC">
      <w:pPr>
        <w:spacing w:after="80"/>
        <w:rPr>
          <w:rFonts w:ascii="Calibri" w:hAnsi="Calibri" w:cs="Calibri"/>
          <w:b/>
          <w:sz w:val="20"/>
          <w:szCs w:val="20"/>
          <w:lang w:val="en-ID"/>
        </w:rPr>
      </w:pPr>
      <w:proofErr w:type="spellStart"/>
      <w:r w:rsidRPr="00514CEC">
        <w:rPr>
          <w:rFonts w:ascii="Calibri" w:hAnsi="Calibri" w:cs="Calibri"/>
          <w:b/>
          <w:sz w:val="20"/>
          <w:szCs w:val="20"/>
          <w:lang w:val="en-ID"/>
        </w:rPr>
        <w:t>Narahubung</w:t>
      </w:r>
      <w:proofErr w:type="spellEnd"/>
      <w:r w:rsidRPr="00514CEC">
        <w:rPr>
          <w:rFonts w:ascii="Calibri" w:hAnsi="Calibri" w:cs="Calibri"/>
          <w:b/>
          <w:sz w:val="20"/>
          <w:szCs w:val="20"/>
          <w:lang w:val="en-ID"/>
        </w:rPr>
        <w:t>:</w:t>
      </w:r>
    </w:p>
    <w:p w14:paraId="3AC1B557" w14:textId="77777777" w:rsidR="00523DEC" w:rsidRPr="00514CEC" w:rsidRDefault="00523DEC" w:rsidP="00523DEC">
      <w:pPr>
        <w:spacing w:after="80"/>
        <w:rPr>
          <w:rFonts w:ascii="Calibri" w:hAnsi="Calibri" w:cs="Calibri"/>
          <w:sz w:val="20"/>
          <w:szCs w:val="20"/>
          <w:lang w:val="en-ID"/>
        </w:rPr>
      </w:pPr>
      <w:r w:rsidRPr="00514CEC">
        <w:rPr>
          <w:rFonts w:ascii="Calibri" w:hAnsi="Calibri" w:cs="Calibri"/>
          <w:sz w:val="20"/>
          <w:szCs w:val="20"/>
          <w:lang w:val="en-ID"/>
        </w:rPr>
        <w:t xml:space="preserve">Research Coordinator Next Indonesia </w:t>
      </w:r>
      <w:proofErr w:type="spellStart"/>
      <w:r w:rsidRPr="00514CEC">
        <w:rPr>
          <w:rFonts w:ascii="Calibri" w:hAnsi="Calibri" w:cs="Calibri"/>
          <w:sz w:val="20"/>
          <w:szCs w:val="20"/>
          <w:lang w:val="en-ID"/>
        </w:rPr>
        <w:t>Center</w:t>
      </w:r>
      <w:proofErr w:type="spellEnd"/>
      <w:r w:rsidRPr="00514CEC">
        <w:rPr>
          <w:rFonts w:ascii="Calibri" w:hAnsi="Calibri" w:cs="Calibri"/>
          <w:sz w:val="20"/>
          <w:szCs w:val="20"/>
          <w:lang w:val="en-ID"/>
        </w:rPr>
        <w:t xml:space="preserve">, </w:t>
      </w:r>
      <w:proofErr w:type="spellStart"/>
      <w:r w:rsidRPr="00514CEC">
        <w:rPr>
          <w:rFonts w:ascii="Calibri" w:hAnsi="Calibri" w:cs="Calibri"/>
          <w:sz w:val="20"/>
          <w:szCs w:val="20"/>
          <w:lang w:val="en-ID"/>
        </w:rPr>
        <w:t>Dera</w:t>
      </w:r>
      <w:proofErr w:type="spellEnd"/>
      <w:r w:rsidRPr="00514CEC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Pr="00514CEC">
        <w:rPr>
          <w:rFonts w:ascii="Calibri" w:hAnsi="Calibri" w:cs="Calibri"/>
          <w:sz w:val="20"/>
          <w:szCs w:val="20"/>
          <w:lang w:val="en-ID"/>
        </w:rPr>
        <w:t>Endah</w:t>
      </w:r>
      <w:proofErr w:type="spellEnd"/>
    </w:p>
    <w:p w14:paraId="34569CF4" w14:textId="77777777" w:rsidR="00523DEC" w:rsidRPr="00514CEC" w:rsidRDefault="00523DEC" w:rsidP="00523DEC">
      <w:pPr>
        <w:spacing w:after="80"/>
        <w:rPr>
          <w:rFonts w:ascii="Calibri" w:hAnsi="Calibri" w:cs="Calibri"/>
          <w:sz w:val="18"/>
          <w:szCs w:val="18"/>
          <w:lang w:val="en-ID"/>
        </w:rPr>
      </w:pPr>
      <w:r w:rsidRPr="00514CEC">
        <w:rPr>
          <w:rFonts w:ascii="Calibri" w:hAnsi="Calibri" w:cs="Calibri"/>
          <w:sz w:val="18"/>
          <w:szCs w:val="18"/>
          <w:lang w:val="en-ID"/>
        </w:rPr>
        <w:t xml:space="preserve">Phone: </w:t>
      </w:r>
      <w:hyperlink r:id="rId6" w:history="1">
        <w:r w:rsidRPr="00514CEC">
          <w:rPr>
            <w:rStyle w:val="Hyperlink"/>
            <w:rFonts w:ascii="Calibri" w:hAnsi="Calibri" w:cs="Calibri"/>
            <w:sz w:val="18"/>
            <w:szCs w:val="18"/>
          </w:rPr>
          <w:t>+62 823-1016-5120</w:t>
        </w:r>
      </w:hyperlink>
    </w:p>
    <w:p w14:paraId="79D00804" w14:textId="77777777" w:rsidR="00523DEC" w:rsidRPr="00C77C97" w:rsidRDefault="00523DEC" w:rsidP="00523DE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d-ID"/>
        </w:rPr>
      </w:pPr>
    </w:p>
    <w:p w14:paraId="3CD07751" w14:textId="77777777" w:rsidR="00523DEC" w:rsidRPr="00C77C97" w:rsidRDefault="00523DEC" w:rsidP="00523DEC">
      <w:pPr>
        <w:spacing w:line="240" w:lineRule="auto"/>
        <w:rPr>
          <w:sz w:val="24"/>
          <w:szCs w:val="24"/>
          <w:lang w:val="id-ID"/>
        </w:rPr>
      </w:pPr>
    </w:p>
    <w:p w14:paraId="247E2DA1" w14:textId="77777777" w:rsidR="00523DEC" w:rsidRPr="00C77C97" w:rsidRDefault="00523DEC" w:rsidP="00523DEC">
      <w:pPr>
        <w:spacing w:after="80"/>
        <w:rPr>
          <w:rFonts w:ascii="Cambria" w:hAnsi="Cambria"/>
          <w:sz w:val="24"/>
          <w:szCs w:val="24"/>
          <w:lang w:val="en-ID"/>
        </w:rPr>
      </w:pPr>
    </w:p>
    <w:p w14:paraId="4B5D06CA" w14:textId="77777777" w:rsidR="00D572BB" w:rsidRDefault="00D572BB"/>
    <w:sectPr w:rsidR="00D572BB" w:rsidSect="007E3513">
      <w:head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B24E5" w14:textId="77777777" w:rsidR="00EB7BF8" w:rsidRDefault="00EB7BF8" w:rsidP="00523DEC">
      <w:pPr>
        <w:spacing w:after="0" w:line="240" w:lineRule="auto"/>
      </w:pPr>
      <w:r>
        <w:separator/>
      </w:r>
    </w:p>
  </w:endnote>
  <w:endnote w:type="continuationSeparator" w:id="0">
    <w:p w14:paraId="31730DDC" w14:textId="77777777" w:rsidR="00EB7BF8" w:rsidRDefault="00EB7BF8" w:rsidP="0052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29978" w14:textId="77777777" w:rsidR="00EB7BF8" w:rsidRDefault="00EB7BF8" w:rsidP="00523DEC">
      <w:pPr>
        <w:spacing w:after="0" w:line="240" w:lineRule="auto"/>
      </w:pPr>
      <w:r>
        <w:separator/>
      </w:r>
    </w:p>
  </w:footnote>
  <w:footnote w:type="continuationSeparator" w:id="0">
    <w:p w14:paraId="317F8C3E" w14:textId="77777777" w:rsidR="00EB7BF8" w:rsidRDefault="00EB7BF8" w:rsidP="0052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2CBE" w14:textId="77777777" w:rsidR="00562DDA" w:rsidRPr="00562DDA" w:rsidRDefault="00EB7BF8" w:rsidP="00562DDA">
    <w:pPr>
      <w:pStyle w:val="Header"/>
      <w:jc w:val="right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6DF3F" wp14:editId="6FAF30F3">
          <wp:simplePos x="0" y="0"/>
          <wp:positionH relativeFrom="column">
            <wp:posOffset>-267335</wp:posOffset>
          </wp:positionH>
          <wp:positionV relativeFrom="paragraph">
            <wp:posOffset>-314325</wp:posOffset>
          </wp:positionV>
          <wp:extent cx="1495425" cy="876300"/>
          <wp:effectExtent l="0" t="0" r="0" b="0"/>
          <wp:wrapThrough wrapText="bothSides">
            <wp:wrapPolygon edited="0">
              <wp:start x="7154" y="6104"/>
              <wp:lineTo x="4127" y="7043"/>
              <wp:lineTo x="3852" y="12209"/>
              <wp:lineTo x="4678" y="15026"/>
              <wp:lineTo x="6054" y="15026"/>
              <wp:lineTo x="17060" y="14087"/>
              <wp:lineTo x="17335" y="7513"/>
              <wp:lineTo x="8255" y="6104"/>
              <wp:lineTo x="7154" y="6104"/>
            </wp:wrapPolygon>
          </wp:wrapThrough>
          <wp:docPr id="430997874" name="Picture 1" descr="A logo with blue and pink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04844" name="Picture 1" descr="A logo with blue and pink colo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proofErr w:type="spellStart"/>
    <w:r w:rsidRPr="00562DDA">
      <w:rPr>
        <w:b/>
        <w:bCs/>
        <w:sz w:val="18"/>
        <w:szCs w:val="18"/>
      </w:rPr>
      <w:t>Siaran</w:t>
    </w:r>
    <w:proofErr w:type="spellEnd"/>
    <w:r w:rsidRPr="00562DDA">
      <w:rPr>
        <w:b/>
        <w:bCs/>
        <w:sz w:val="18"/>
        <w:szCs w:val="18"/>
      </w:rPr>
      <w:t xml:space="preserve"> Pers</w:t>
    </w:r>
  </w:p>
  <w:p w14:paraId="502631CA" w14:textId="77777777" w:rsidR="00562DDA" w:rsidRPr="00562DDA" w:rsidRDefault="00EB7BF8" w:rsidP="00562DDA">
    <w:pPr>
      <w:pStyle w:val="Header"/>
      <w:jc w:val="right"/>
      <w:rPr>
        <w:sz w:val="18"/>
        <w:szCs w:val="18"/>
      </w:rPr>
    </w:pPr>
    <w:proofErr w:type="spellStart"/>
    <w:r w:rsidRPr="00562DDA">
      <w:rPr>
        <w:sz w:val="18"/>
        <w:szCs w:val="18"/>
      </w:rPr>
      <w:t>Untuk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Segera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Disiarkan</w:t>
    </w:r>
    <w:proofErr w:type="spellEnd"/>
  </w:p>
  <w:p w14:paraId="6450F822" w14:textId="670DC987" w:rsidR="00562DDA" w:rsidRDefault="00523DEC" w:rsidP="00562DDA">
    <w:pPr>
      <w:pStyle w:val="Header"/>
      <w:jc w:val="right"/>
    </w:pPr>
    <w:r>
      <w:rPr>
        <w:sz w:val="18"/>
        <w:szCs w:val="18"/>
      </w:rPr>
      <w:t>Rabu</w:t>
    </w:r>
    <w:r w:rsidR="00EB7BF8" w:rsidRPr="00562DDA">
      <w:rPr>
        <w:sz w:val="18"/>
        <w:szCs w:val="18"/>
      </w:rPr>
      <w:t xml:space="preserve">, </w:t>
    </w:r>
    <w:r>
      <w:rPr>
        <w:sz w:val="18"/>
        <w:szCs w:val="18"/>
      </w:rPr>
      <w:t xml:space="preserve">6 </w:t>
    </w:r>
    <w:proofErr w:type="spellStart"/>
    <w:r>
      <w:rPr>
        <w:sz w:val="18"/>
        <w:szCs w:val="18"/>
      </w:rPr>
      <w:t>Agustus</w:t>
    </w:r>
    <w:proofErr w:type="spellEnd"/>
    <w:r w:rsidR="00EB7BF8" w:rsidRPr="00562DDA">
      <w:rPr>
        <w:sz w:val="18"/>
        <w:szCs w:val="18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EC"/>
    <w:rsid w:val="00523DEC"/>
    <w:rsid w:val="00D572BB"/>
    <w:rsid w:val="00E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32BF0"/>
  <w15:chartTrackingRefBased/>
  <w15:docId w15:val="{23EF36BB-807D-BB4E-95C7-459D66BE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EC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EC"/>
    <w:rPr>
      <w:kern w:val="2"/>
      <w:sz w:val="22"/>
      <w:szCs w:val="2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23DE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EC"/>
    <w:rPr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to:+012(345)678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2025-08-06T03:41:00Z</dcterms:created>
  <dcterms:modified xsi:type="dcterms:W3CDTF">2025-08-06T03:48:00Z</dcterms:modified>
</cp:coreProperties>
</file>