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9DEF" w14:textId="77777777" w:rsidR="00600573" w:rsidRDefault="00600573" w:rsidP="006005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Sebagian </w:t>
      </w:r>
      <w:proofErr w:type="spellStart"/>
      <w:r>
        <w:rPr>
          <w:b/>
          <w:sz w:val="28"/>
          <w:szCs w:val="28"/>
        </w:rPr>
        <w:t>Besar</w:t>
      </w:r>
      <w:proofErr w:type="spellEnd"/>
      <w:r>
        <w:rPr>
          <w:b/>
          <w:sz w:val="28"/>
          <w:szCs w:val="28"/>
        </w:rPr>
        <w:t xml:space="preserve"> BBM </w:t>
      </w:r>
      <w:proofErr w:type="spellStart"/>
      <w:r>
        <w:rPr>
          <w:b/>
          <w:sz w:val="28"/>
          <w:szCs w:val="28"/>
        </w:rPr>
        <w:t>Bersubsidi</w:t>
      </w:r>
      <w:proofErr w:type="spellEnd"/>
      <w:r>
        <w:rPr>
          <w:b/>
          <w:sz w:val="28"/>
          <w:szCs w:val="28"/>
        </w:rPr>
        <w:t xml:space="preserve"> Salah </w:t>
      </w:r>
      <w:proofErr w:type="spellStart"/>
      <w:r>
        <w:rPr>
          <w:b/>
          <w:sz w:val="28"/>
          <w:szCs w:val="28"/>
        </w:rPr>
        <w:t>Sasaran</w:t>
      </w:r>
      <w:proofErr w:type="spellEnd"/>
    </w:p>
    <w:p w14:paraId="2D95B218" w14:textId="77777777" w:rsidR="00600573" w:rsidRDefault="00600573" w:rsidP="00600573">
      <w:pPr>
        <w:spacing w:line="240" w:lineRule="auto"/>
        <w:jc w:val="both"/>
      </w:pPr>
    </w:p>
    <w:p w14:paraId="62DE0301" w14:textId="77777777" w:rsidR="00600573" w:rsidRDefault="00600573" w:rsidP="00600573">
      <w:pPr>
        <w:spacing w:line="240" w:lineRule="auto"/>
        <w:jc w:val="both"/>
      </w:pPr>
      <w:r>
        <w:t xml:space="preserve">JAKARTA </w:t>
      </w:r>
      <w:proofErr w:type="gramStart"/>
      <w:r>
        <w:t>-  Hasil</w:t>
      </w:r>
      <w:proofErr w:type="gramEnd"/>
      <w:r>
        <w:t xml:space="preserve"> </w:t>
      </w:r>
      <w:proofErr w:type="spellStart"/>
      <w:r>
        <w:t>kajian</w:t>
      </w:r>
      <w:proofErr w:type="spellEnd"/>
      <w:r>
        <w:t xml:space="preserve"> NEXT Indonesia Center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puluhan</w:t>
      </w:r>
      <w:proofErr w:type="spellEnd"/>
      <w:r>
        <w:t xml:space="preserve"> </w:t>
      </w:r>
      <w:proofErr w:type="spellStart"/>
      <w:r>
        <w:t>triliun</w:t>
      </w:r>
      <w:proofErr w:type="spellEnd"/>
      <w:r>
        <w:t xml:space="preserve"> rupiah dana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(BBM), gas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(</w:t>
      </w:r>
      <w:r>
        <w:rPr>
          <w:i/>
        </w:rPr>
        <w:t>liquified petroleum gas</w:t>
      </w:r>
      <w:r>
        <w:t xml:space="preserve">, LPG) </w:t>
      </w:r>
      <w:proofErr w:type="spellStart"/>
      <w:r>
        <w:t>ukuran</w:t>
      </w:r>
      <w:proofErr w:type="spellEnd"/>
      <w:r>
        <w:t xml:space="preserve"> 3 kilogram, dan solar—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kaya di Indonesia pun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>.</w:t>
      </w:r>
    </w:p>
    <w:p w14:paraId="7A2637B8" w14:textId="77777777" w:rsidR="00600573" w:rsidRDefault="00600573" w:rsidP="00600573">
      <w:pPr>
        <w:spacing w:line="240" w:lineRule="auto"/>
        <w:jc w:val="both"/>
      </w:pPr>
      <w:proofErr w:type="spellStart"/>
      <w:r>
        <w:t>Sejatinya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target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BBM, </w:t>
      </w:r>
      <w:proofErr w:type="spellStart"/>
      <w:r>
        <w:t>yakni</w:t>
      </w:r>
      <w:proofErr w:type="spellEnd"/>
      <w:r>
        <w:t xml:space="preserve"> 40%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-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- </w:t>
      </w:r>
      <w:proofErr w:type="spellStart"/>
      <w:r>
        <w:t>terendah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desil</w:t>
      </w:r>
      <w:proofErr w:type="spellEnd"/>
      <w:r>
        <w:t xml:space="preserve"> 1-4,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miskin dan </w:t>
      </w:r>
      <w:proofErr w:type="spellStart"/>
      <w:r>
        <w:t>rentan</w:t>
      </w:r>
      <w:proofErr w:type="spellEnd"/>
      <w:r>
        <w:t xml:space="preserve"> miskin.</w:t>
      </w:r>
    </w:p>
    <w:p w14:paraId="27347F70" w14:textId="77777777" w:rsidR="00600573" w:rsidRDefault="00600573" w:rsidP="00600573">
      <w:pPr>
        <w:spacing w:line="240" w:lineRule="auto"/>
        <w:jc w:val="both"/>
      </w:pPr>
      <w:r>
        <w:t>“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realisasinya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miskin,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kaya pun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,” </w:t>
      </w:r>
      <w:proofErr w:type="spellStart"/>
      <w:r>
        <w:t>ungkap</w:t>
      </w:r>
      <w:proofErr w:type="spellEnd"/>
      <w:r>
        <w:t xml:space="preserve"> </w:t>
      </w:r>
      <w:proofErr w:type="spellStart"/>
      <w:r>
        <w:t>Christiantoko</w:t>
      </w:r>
      <w:proofErr w:type="spellEnd"/>
      <w:r>
        <w:t xml:space="preserve">,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 NEXT Indonesia Center,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lembaganya</w:t>
      </w:r>
      <w:proofErr w:type="spellEnd"/>
      <w:r>
        <w:t xml:space="preserve"> di Jakarta, </w:t>
      </w:r>
      <w:proofErr w:type="spellStart"/>
      <w:r>
        <w:t>Jumat</w:t>
      </w:r>
      <w:proofErr w:type="spellEnd"/>
      <w:r>
        <w:t xml:space="preserve"> (15/8/2025).</w:t>
      </w:r>
    </w:p>
    <w:p w14:paraId="2409AD40" w14:textId="77777777" w:rsidR="00600573" w:rsidRDefault="00600573" w:rsidP="00600573">
      <w:pPr>
        <w:spacing w:line="240" w:lineRule="auto"/>
        <w:jc w:val="both"/>
      </w:pPr>
      <w:proofErr w:type="spellStart"/>
      <w:r>
        <w:t>Dia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Nasional (</w:t>
      </w:r>
      <w:proofErr w:type="spellStart"/>
      <w:r>
        <w:t>Susenas</w:t>
      </w:r>
      <w:proofErr w:type="spellEnd"/>
      <w:r>
        <w:t xml:space="preserve">) </w:t>
      </w:r>
      <w:proofErr w:type="spellStart"/>
      <w:r>
        <w:t>Maret</w:t>
      </w:r>
      <w:proofErr w:type="spellEnd"/>
      <w:r>
        <w:t xml:space="preserve"> 2024 yang </w:t>
      </w:r>
      <w:proofErr w:type="spellStart"/>
      <w:r>
        <w:t>dikeluarkan</w:t>
      </w:r>
      <w:proofErr w:type="spellEnd"/>
      <w:r>
        <w:t xml:space="preserve"> oleh Badan Pusat </w:t>
      </w:r>
      <w:proofErr w:type="spellStart"/>
      <w:r>
        <w:t>Statistik</w:t>
      </w:r>
      <w:proofErr w:type="spellEnd"/>
      <w:r>
        <w:t xml:space="preserve"> (BPS) </w:t>
      </w:r>
      <w:proofErr w:type="spellStart"/>
      <w:r>
        <w:t>terungkap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salah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BBM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Pertalite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1.400 </w:t>
      </w:r>
      <w:proofErr w:type="spellStart"/>
      <w:r>
        <w:t>juta</w:t>
      </w:r>
      <w:proofErr w:type="spellEnd"/>
      <w:r>
        <w:t xml:space="preserve"> liter per </w:t>
      </w:r>
      <w:proofErr w:type="spellStart"/>
      <w:r>
        <w:t>bulan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78,93% </w:t>
      </w:r>
      <w:proofErr w:type="spellStart"/>
      <w:r>
        <w:t>dari</w:t>
      </w:r>
      <w:proofErr w:type="spellEnd"/>
      <w:r>
        <w:t xml:space="preserve"> total 1.774,5 </w:t>
      </w:r>
      <w:proofErr w:type="spellStart"/>
      <w:r>
        <w:t>juta</w:t>
      </w:r>
      <w:proofErr w:type="spellEnd"/>
      <w:r>
        <w:t xml:space="preserve"> liter </w:t>
      </w:r>
      <w:proofErr w:type="spellStart"/>
      <w:r>
        <w:t>Pertalite</w:t>
      </w:r>
      <w:proofErr w:type="spellEnd"/>
      <w:r>
        <w:t xml:space="preserve"> yang </w:t>
      </w:r>
      <w:proofErr w:type="spellStart"/>
      <w:r>
        <w:t>dikonsumsi</w:t>
      </w:r>
      <w:proofErr w:type="spellEnd"/>
      <w:r>
        <w:t xml:space="preserve"> oleh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di Indonesia yang </w:t>
      </w:r>
      <w:proofErr w:type="spellStart"/>
      <w:r>
        <w:t>berjumlah</w:t>
      </w:r>
      <w:proofErr w:type="spellEnd"/>
      <w:r>
        <w:t xml:space="preserve"> 72,7 </w:t>
      </w:r>
      <w:proofErr w:type="spellStart"/>
      <w:r>
        <w:t>juta</w:t>
      </w:r>
      <w:proofErr w:type="spellEnd"/>
      <w:r>
        <w:t xml:space="preserve">. </w:t>
      </w:r>
    </w:p>
    <w:p w14:paraId="2248479E" w14:textId="77777777" w:rsidR="00600573" w:rsidRDefault="00600573" w:rsidP="00600573">
      <w:pPr>
        <w:spacing w:line="240" w:lineRule="auto"/>
        <w:jc w:val="both"/>
      </w:pPr>
      <w:r>
        <w:t xml:space="preserve">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Pertalite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desil</w:t>
      </w:r>
      <w:proofErr w:type="spellEnd"/>
      <w:r>
        <w:t xml:space="preserve"> 5-10. </w:t>
      </w:r>
      <w:proofErr w:type="spellStart"/>
      <w:r>
        <w:t>Tragisnya</w:t>
      </w:r>
      <w:proofErr w:type="spellEnd"/>
      <w:r>
        <w:t xml:space="preserve">, kata </w:t>
      </w:r>
      <w:proofErr w:type="spellStart"/>
      <w:r>
        <w:t>Christiantoko</w:t>
      </w:r>
      <w:proofErr w:type="spellEnd"/>
      <w:r>
        <w:t xml:space="preserve">, 20%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terkaya</w:t>
      </w:r>
      <w:proofErr w:type="spellEnd"/>
      <w:r>
        <w:t xml:space="preserve"> (</w:t>
      </w:r>
      <w:proofErr w:type="spellStart"/>
      <w:r>
        <w:t>desil</w:t>
      </w:r>
      <w:proofErr w:type="spellEnd"/>
      <w:r>
        <w:t xml:space="preserve"> 9-10)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rata-rata </w:t>
      </w:r>
      <w:proofErr w:type="spellStart"/>
      <w:r>
        <w:t>sekitar</w:t>
      </w:r>
      <w:proofErr w:type="spellEnd"/>
      <w:r>
        <w:t xml:space="preserve"> 39,99%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BBM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(JBKP) </w:t>
      </w:r>
      <w:proofErr w:type="spellStart"/>
      <w:r>
        <w:t>itu</w:t>
      </w:r>
      <w:proofErr w:type="spellEnd"/>
      <w:r>
        <w:t xml:space="preserve">. “Salah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bertahun-tahun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penyalurannya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14:paraId="49F04A4B" w14:textId="77777777" w:rsidR="00600573" w:rsidRDefault="00600573" w:rsidP="00600573">
      <w:pPr>
        <w:spacing w:line="240" w:lineRule="auto"/>
        <w:jc w:val="both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desil</w:t>
      </w:r>
      <w:proofErr w:type="spellEnd"/>
      <w:r>
        <w:t xml:space="preserve"> 9-10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terkaya</w:t>
      </w:r>
      <w:proofErr w:type="spellEnd"/>
      <w:r>
        <w:t xml:space="preserve">, yang </w:t>
      </w:r>
      <w:proofErr w:type="spellStart"/>
      <w:r>
        <w:t>menurut</w:t>
      </w:r>
      <w:proofErr w:type="spellEnd"/>
      <w:r>
        <w:t xml:space="preserve"> data </w:t>
      </w:r>
      <w:proofErr w:type="spellStart"/>
      <w:r>
        <w:t>Susenas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2024, </w:t>
      </w:r>
      <w:proofErr w:type="spellStart"/>
      <w:r>
        <w:t>memiliki</w:t>
      </w:r>
      <w:proofErr w:type="spellEnd"/>
      <w:r>
        <w:t xml:space="preserve"> rata-rata </w:t>
      </w:r>
      <w:proofErr w:type="spellStart"/>
      <w:r>
        <w:t>pengeluaran</w:t>
      </w:r>
      <w:proofErr w:type="spellEnd"/>
      <w:r>
        <w:t xml:space="preserve"> per </w:t>
      </w:r>
      <w:proofErr w:type="spellStart"/>
      <w:r>
        <w:t>kapita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Rp2 </w:t>
      </w:r>
      <w:proofErr w:type="spellStart"/>
      <w:r>
        <w:t>juta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,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BPS di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20%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terkaya</w:t>
      </w:r>
      <w:proofErr w:type="spellEnd"/>
      <w:r>
        <w:t xml:space="preserve"> di Indonesia </w:t>
      </w:r>
      <w:proofErr w:type="spellStart"/>
      <w:r>
        <w:t>menikmati</w:t>
      </w:r>
      <w:proofErr w:type="spellEnd"/>
      <w:r>
        <w:t xml:space="preserve"> BBM yang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. </w:t>
      </w:r>
    </w:p>
    <w:p w14:paraId="225F0D8B" w14:textId="77777777" w:rsidR="00600573" w:rsidRDefault="00600573" w:rsidP="00600573">
      <w:pPr>
        <w:spacing w:line="240" w:lineRule="auto"/>
        <w:jc w:val="both"/>
      </w:pPr>
      <w:proofErr w:type="spellStart"/>
      <w:r>
        <w:t>Pertalite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BBM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(JBKP) yang </w:t>
      </w:r>
      <w:proofErr w:type="spellStart"/>
      <w:r>
        <w:t>lahir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2022,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Keputusan Menteri </w:t>
      </w:r>
      <w:proofErr w:type="spellStart"/>
      <w:r>
        <w:t>Energi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Mineral </w:t>
      </w:r>
      <w:proofErr w:type="spellStart"/>
      <w:r>
        <w:t>Nomor</w:t>
      </w:r>
      <w:proofErr w:type="spellEnd"/>
      <w:r>
        <w:t xml:space="preserve"> 37.K/HK.02/MEM.M/2022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Bakar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, </w:t>
      </w:r>
      <w:proofErr w:type="spellStart"/>
      <w:r>
        <w:t>menggantikan</w:t>
      </w:r>
      <w:proofErr w:type="spellEnd"/>
      <w:r>
        <w:t xml:space="preserve"> Premium. </w:t>
      </w:r>
      <w:proofErr w:type="spellStart"/>
      <w:r>
        <w:t>Pertalite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>.</w:t>
      </w:r>
    </w:p>
    <w:p w14:paraId="33974F5C" w14:textId="77777777" w:rsidR="00600573" w:rsidRDefault="00600573" w:rsidP="00600573">
      <w:pPr>
        <w:spacing w:line="240" w:lineRule="auto"/>
        <w:jc w:val="both"/>
      </w:pPr>
      <w:proofErr w:type="spellStart"/>
      <w:r>
        <w:t>Kendati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pendistribusi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BBM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dana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PT </w:t>
      </w:r>
      <w:proofErr w:type="spellStart"/>
      <w:r>
        <w:t>Pertamina</w:t>
      </w:r>
      <w:proofErr w:type="spellEnd"/>
      <w:r>
        <w:t xml:space="preserve"> (Persero),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menutupi</w:t>
      </w:r>
      <w:proofErr w:type="spellEnd"/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keekonomian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pasar.  Jika </w:t>
      </w:r>
      <w:proofErr w:type="spellStart"/>
      <w:r>
        <w:t>melihat</w:t>
      </w:r>
      <w:proofErr w:type="spellEnd"/>
      <w:r>
        <w:t xml:space="preserve"> data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Pertamina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2024, total dana </w:t>
      </w:r>
      <w:proofErr w:type="spellStart"/>
      <w:r>
        <w:t>kompensasi</w:t>
      </w:r>
      <w:proofErr w:type="spellEnd"/>
      <w:r>
        <w:t xml:space="preserve"> yang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US$6,4 </w:t>
      </w:r>
      <w:proofErr w:type="spellStart"/>
      <w:r>
        <w:t>miliar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Rp102,6 </w:t>
      </w:r>
      <w:proofErr w:type="spellStart"/>
      <w:r>
        <w:t>triliun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Rp16.000 per </w:t>
      </w:r>
      <w:proofErr w:type="spellStart"/>
      <w:r>
        <w:t>dolar</w:t>
      </w:r>
      <w:proofErr w:type="spellEnd"/>
      <w:r>
        <w:t xml:space="preserve"> Amerika </w:t>
      </w:r>
      <w:proofErr w:type="spellStart"/>
      <w:r>
        <w:t>Serikat</w:t>
      </w:r>
      <w:proofErr w:type="spellEnd"/>
      <w:r>
        <w:t>.</w:t>
      </w:r>
    </w:p>
    <w:p w14:paraId="4ECC494C" w14:textId="77777777" w:rsidR="00600573" w:rsidRDefault="00600573" w:rsidP="00600573">
      <w:pPr>
        <w:spacing w:line="240" w:lineRule="auto"/>
        <w:jc w:val="both"/>
      </w:pPr>
      <w:r>
        <w:t>“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Bank Dunia, </w:t>
      </w:r>
      <w:proofErr w:type="spellStart"/>
      <w:r>
        <w:t>merupakan</w:t>
      </w:r>
      <w:proofErr w:type="spellEnd"/>
      <w:r>
        <w:t xml:space="preserve"> </w:t>
      </w:r>
      <w:r>
        <w:rPr>
          <w:i/>
        </w:rPr>
        <w:t>implicit subsidies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14:paraId="0E24D063" w14:textId="77777777" w:rsidR="00600573" w:rsidRDefault="00600573" w:rsidP="00600573">
      <w:pPr>
        <w:spacing w:line="24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total BBM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Pertalite</w:t>
      </w:r>
      <w:proofErr w:type="spellEnd"/>
      <w:r>
        <w:t xml:space="preserve"> yang </w:t>
      </w:r>
      <w:proofErr w:type="spellStart"/>
      <w:r>
        <w:t>dinikmati</w:t>
      </w:r>
      <w:proofErr w:type="spellEnd"/>
      <w:r>
        <w:t xml:space="preserve"> oleh 20%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terkaya</w:t>
      </w:r>
      <w:proofErr w:type="spellEnd"/>
      <w:r>
        <w:t xml:space="preserve"> </w:t>
      </w:r>
      <w:proofErr w:type="spellStart"/>
      <w:r>
        <w:t>senilai</w:t>
      </w:r>
      <w:proofErr w:type="spellEnd"/>
      <w:r>
        <w:t xml:space="preserve"> Rp41 </w:t>
      </w:r>
      <w:proofErr w:type="spellStart"/>
      <w:r>
        <w:t>triliun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39,99%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salah </w:t>
      </w:r>
      <w:proofErr w:type="spellStart"/>
      <w:r>
        <w:t>sasarannya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Rp81 </w:t>
      </w:r>
      <w:proofErr w:type="spellStart"/>
      <w:r>
        <w:t>triliun</w:t>
      </w:r>
      <w:proofErr w:type="spellEnd"/>
      <w:r>
        <w:t xml:space="preserve">, yang </w:t>
      </w:r>
      <w:proofErr w:type="spellStart"/>
      <w:r>
        <w:t>dinikmati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miskin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miskin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desil</w:t>
      </w:r>
      <w:proofErr w:type="spellEnd"/>
      <w:r>
        <w:t xml:space="preserve"> 5-10. </w:t>
      </w:r>
    </w:p>
    <w:p w14:paraId="355B2F65" w14:textId="77777777" w:rsidR="00600573" w:rsidRDefault="00600573" w:rsidP="00600573">
      <w:pPr>
        <w:spacing w:line="240" w:lineRule="auto"/>
        <w:jc w:val="both"/>
      </w:pPr>
      <w:proofErr w:type="spellStart"/>
      <w:r>
        <w:lastRenderedPageBreak/>
        <w:t>Kondisi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komoditas</w:t>
      </w:r>
      <w:proofErr w:type="spellEnd"/>
      <w:r>
        <w:t xml:space="preserve"> LPG </w:t>
      </w:r>
      <w:proofErr w:type="gramStart"/>
      <w:r>
        <w:t>3 kilogram</w:t>
      </w:r>
      <w:proofErr w:type="gramEnd"/>
      <w:r>
        <w:t xml:space="preserve"> (kg) yang </w:t>
      </w:r>
      <w:proofErr w:type="spellStart"/>
      <w:r>
        <w:t>disubsidi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ujar</w:t>
      </w:r>
      <w:proofErr w:type="spellEnd"/>
      <w:r>
        <w:t xml:space="preserve"> </w:t>
      </w:r>
      <w:proofErr w:type="spellStart"/>
      <w:r>
        <w:t>Christiantoko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salah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penyalurannya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67,41%.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terkaya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desil</w:t>
      </w:r>
      <w:proofErr w:type="spellEnd"/>
      <w:r>
        <w:t xml:space="preserve"> 9-10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proofErr w:type="gramStart"/>
      <w:r>
        <w:t>sekitar</w:t>
      </w:r>
      <w:proofErr w:type="spellEnd"/>
      <w:r>
        <w:t xml:space="preserve">  23</w:t>
      </w:r>
      <w:proofErr w:type="gramEnd"/>
      <w:r>
        <w:t xml:space="preserve">,66%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97,9 </w:t>
      </w:r>
      <w:proofErr w:type="spellStart"/>
      <w:r>
        <w:t>ribu</w:t>
      </w:r>
      <w:proofErr w:type="spellEnd"/>
      <w:r>
        <w:t xml:space="preserve"> ton per </w:t>
      </w:r>
      <w:proofErr w:type="spellStart"/>
      <w:r>
        <w:t>bulan</w:t>
      </w:r>
      <w:proofErr w:type="spellEnd"/>
      <w:r>
        <w:t>.</w:t>
      </w:r>
    </w:p>
    <w:p w14:paraId="06360FD6" w14:textId="77777777" w:rsidR="00600573" w:rsidRDefault="00600573" w:rsidP="00600573">
      <w:pPr>
        <w:spacing w:line="240" w:lineRule="auto"/>
        <w:jc w:val="both"/>
      </w:pPr>
      <w:r>
        <w:t>“</w:t>
      </w:r>
      <w:proofErr w:type="spellStart"/>
      <w:r>
        <w:t>Potensi</w:t>
      </w:r>
      <w:proofErr w:type="spellEnd"/>
      <w:r>
        <w:t xml:space="preserve"> total salah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LPG 3 kg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Rp57,7 </w:t>
      </w:r>
      <w:proofErr w:type="spellStart"/>
      <w:r>
        <w:t>triliun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14:paraId="28722026" w14:textId="023A1236" w:rsidR="005C2413" w:rsidRPr="00600573" w:rsidRDefault="00600573" w:rsidP="00600573">
      <w:pPr>
        <w:spacing w:line="240" w:lineRule="auto"/>
        <w:jc w:val="both"/>
      </w:pPr>
      <w:proofErr w:type="spellStart"/>
      <w:r>
        <w:t>Christiantoko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, data yang </w:t>
      </w:r>
      <w:proofErr w:type="spellStart"/>
      <w:r>
        <w:t>diungkap</w:t>
      </w:r>
      <w:proofErr w:type="spellEnd"/>
      <w:r>
        <w:t xml:space="preserve"> BPS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inefisiensi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dituntaskan</w:t>
      </w:r>
      <w:proofErr w:type="spellEnd"/>
      <w:r>
        <w:t xml:space="preserve"> agar dana yang </w:t>
      </w:r>
      <w:proofErr w:type="spellStart"/>
      <w:r>
        <w:t>digelontorkan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41355081" w14:textId="225B6D05" w:rsidR="0065219B" w:rsidRPr="00945E9C" w:rsidRDefault="0065219B" w:rsidP="0065219B">
      <w:pPr>
        <w:spacing w:after="80"/>
        <w:rPr>
          <w:rFonts w:ascii="Cambria" w:hAnsi="Cambria"/>
          <w:sz w:val="24"/>
          <w:szCs w:val="24"/>
          <w:lang w:val="id-ID"/>
        </w:rPr>
      </w:pPr>
      <w:r w:rsidRPr="00945E9C">
        <w:rPr>
          <w:rFonts w:ascii="Cambria" w:hAnsi="Cambria"/>
          <w:sz w:val="24"/>
          <w:szCs w:val="24"/>
          <w:lang w:val="id-ID"/>
        </w:rPr>
        <w:t>-----------------------------------------------------------------------------------------------------------------</w:t>
      </w:r>
    </w:p>
    <w:p w14:paraId="355E3F87" w14:textId="77777777" w:rsidR="0065219B" w:rsidRPr="00514CEC" w:rsidRDefault="0065219B" w:rsidP="0065219B">
      <w:pPr>
        <w:spacing w:after="80"/>
        <w:rPr>
          <w:rFonts w:ascii="Calibri" w:hAnsi="Calibri" w:cs="Calibri"/>
          <w:b/>
          <w:bCs/>
          <w:sz w:val="20"/>
          <w:szCs w:val="20"/>
          <w:lang w:val="id-ID"/>
        </w:rPr>
      </w:pPr>
      <w:r w:rsidRPr="00514CEC">
        <w:rPr>
          <w:rFonts w:ascii="Calibri" w:hAnsi="Calibri" w:cs="Calibri"/>
          <w:b/>
          <w:bCs/>
          <w:sz w:val="20"/>
          <w:szCs w:val="20"/>
          <w:lang w:val="id-ID"/>
        </w:rPr>
        <w:t>NEXT Indonesia Center</w:t>
      </w:r>
    </w:p>
    <w:p w14:paraId="7BB7EFA3" w14:textId="77777777" w:rsidR="0065219B" w:rsidRPr="00514CEC" w:rsidRDefault="0065219B" w:rsidP="0065219B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 xml:space="preserve">NEXT Indonesia Center adalah lembaga independen dengan konsentrasi di bidang riset dan publikasi. Kami menggabungkan disiplin jurnalistik sebagai penyajian dan disiplin akademik sebagai panduan dalam melakukan riset. </w:t>
      </w:r>
    </w:p>
    <w:p w14:paraId="5A7138FF" w14:textId="77777777" w:rsidR="0065219B" w:rsidRPr="00514CEC" w:rsidRDefault="0065219B" w:rsidP="0065219B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>Konsentrasi kegiatan riset dan publikasi kami, terutama di bidang ekonomi, sosial</w:t>
      </w:r>
      <w:r>
        <w:rPr>
          <w:rFonts w:ascii="Calibri" w:hAnsi="Calibri" w:cs="Calibri"/>
          <w:sz w:val="18"/>
          <w:szCs w:val="18"/>
        </w:rPr>
        <w:t xml:space="preserve"> </w:t>
      </w:r>
      <w:r w:rsidRPr="00514CEC">
        <w:rPr>
          <w:rFonts w:ascii="Calibri" w:hAnsi="Calibri" w:cs="Calibri"/>
          <w:sz w:val="18"/>
          <w:szCs w:val="18"/>
          <w:lang w:val="id-ID"/>
        </w:rPr>
        <w:t>dan kebijakan publik. Kami membantu para pemangku kepentingan agar lebih tepat dalam mengambil kebijakan strategis, baik untuk organisasi pemerintah, korporasi, organisasi masyarakat sipil, maupun lembaga lain dan individu.</w:t>
      </w:r>
    </w:p>
    <w:p w14:paraId="44A48759" w14:textId="77777777" w:rsidR="0065219B" w:rsidRPr="00514CEC" w:rsidRDefault="0065219B" w:rsidP="0065219B">
      <w:pPr>
        <w:spacing w:after="80"/>
        <w:rPr>
          <w:rFonts w:ascii="Calibri" w:hAnsi="Calibri" w:cs="Calibri"/>
          <w:b/>
          <w:sz w:val="20"/>
          <w:szCs w:val="20"/>
          <w:lang w:val="en-ID"/>
        </w:rPr>
      </w:pPr>
      <w:proofErr w:type="spellStart"/>
      <w:r w:rsidRPr="00514CEC">
        <w:rPr>
          <w:rFonts w:ascii="Calibri" w:hAnsi="Calibri" w:cs="Calibri"/>
          <w:b/>
          <w:sz w:val="20"/>
          <w:szCs w:val="20"/>
          <w:lang w:val="en-ID"/>
        </w:rPr>
        <w:t>Narahubung</w:t>
      </w:r>
      <w:proofErr w:type="spellEnd"/>
      <w:r w:rsidRPr="00514CEC">
        <w:rPr>
          <w:rFonts w:ascii="Calibri" w:hAnsi="Calibri" w:cs="Calibri"/>
          <w:b/>
          <w:sz w:val="20"/>
          <w:szCs w:val="20"/>
          <w:lang w:val="en-ID"/>
        </w:rPr>
        <w:t>:</w:t>
      </w:r>
    </w:p>
    <w:p w14:paraId="76E92CB5" w14:textId="7EA23DE7" w:rsidR="0065219B" w:rsidRPr="00514CEC" w:rsidRDefault="0065219B" w:rsidP="0065219B">
      <w:pPr>
        <w:spacing w:after="80"/>
        <w:rPr>
          <w:rFonts w:ascii="Calibri" w:hAnsi="Calibri" w:cs="Calibri"/>
          <w:sz w:val="20"/>
          <w:szCs w:val="20"/>
          <w:lang w:val="en-ID"/>
        </w:rPr>
      </w:pPr>
      <w:r w:rsidRPr="00514CEC">
        <w:rPr>
          <w:rFonts w:ascii="Calibri" w:hAnsi="Calibri" w:cs="Calibri"/>
          <w:sz w:val="20"/>
          <w:szCs w:val="20"/>
          <w:lang w:val="en-ID"/>
        </w:rPr>
        <w:t xml:space="preserve">Research Coordinator Next Indonesia </w:t>
      </w:r>
      <w:proofErr w:type="spellStart"/>
      <w:r w:rsidRPr="00514CEC">
        <w:rPr>
          <w:rFonts w:ascii="Calibri" w:hAnsi="Calibri" w:cs="Calibri"/>
          <w:sz w:val="20"/>
          <w:szCs w:val="20"/>
          <w:lang w:val="en-ID"/>
        </w:rPr>
        <w:t>Center</w:t>
      </w:r>
      <w:proofErr w:type="spellEnd"/>
      <w:r w:rsidRPr="00514CEC">
        <w:rPr>
          <w:rFonts w:ascii="Calibri" w:hAnsi="Calibri" w:cs="Calibri"/>
          <w:sz w:val="20"/>
          <w:szCs w:val="20"/>
          <w:lang w:val="en-ID"/>
        </w:rPr>
        <w:t>,</w:t>
      </w:r>
    </w:p>
    <w:p w14:paraId="6A65119D" w14:textId="77777777" w:rsidR="0065219B" w:rsidRPr="00514CEC" w:rsidRDefault="0065219B" w:rsidP="0065219B">
      <w:pPr>
        <w:spacing w:after="80"/>
        <w:rPr>
          <w:rFonts w:ascii="Calibri" w:hAnsi="Calibri" w:cs="Calibri"/>
          <w:sz w:val="18"/>
          <w:szCs w:val="18"/>
          <w:lang w:val="en-ID"/>
        </w:rPr>
      </w:pPr>
      <w:r w:rsidRPr="00514CEC">
        <w:rPr>
          <w:rFonts w:ascii="Calibri" w:hAnsi="Calibri" w:cs="Calibri"/>
          <w:sz w:val="18"/>
          <w:szCs w:val="18"/>
          <w:lang w:val="en-ID"/>
        </w:rPr>
        <w:t xml:space="preserve">Phone: </w:t>
      </w:r>
      <w:hyperlink r:id="rId7" w:history="1">
        <w:r w:rsidRPr="00514CEC">
          <w:rPr>
            <w:rStyle w:val="Hyperlink"/>
            <w:rFonts w:ascii="Calibri" w:hAnsi="Calibri" w:cs="Calibri"/>
            <w:sz w:val="18"/>
            <w:szCs w:val="18"/>
          </w:rPr>
          <w:t>+62 823-1016-5120</w:t>
        </w:r>
      </w:hyperlink>
    </w:p>
    <w:p w14:paraId="4261A999" w14:textId="77777777" w:rsidR="0065219B" w:rsidRPr="00C77C97" w:rsidRDefault="0065219B" w:rsidP="0065219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d-ID"/>
        </w:rPr>
      </w:pPr>
    </w:p>
    <w:p w14:paraId="37B42C32" w14:textId="77777777" w:rsidR="0065219B" w:rsidRPr="00C77C97" w:rsidRDefault="0065219B" w:rsidP="0065219B">
      <w:pPr>
        <w:spacing w:line="240" w:lineRule="auto"/>
        <w:rPr>
          <w:sz w:val="24"/>
          <w:szCs w:val="24"/>
          <w:lang w:val="id-ID"/>
        </w:rPr>
      </w:pPr>
    </w:p>
    <w:p w14:paraId="16105D4C" w14:textId="77777777" w:rsidR="0065219B" w:rsidRPr="00C77C97" w:rsidRDefault="0065219B" w:rsidP="0065219B">
      <w:pPr>
        <w:spacing w:after="80"/>
        <w:rPr>
          <w:rFonts w:ascii="Cambria" w:hAnsi="Cambria"/>
          <w:sz w:val="24"/>
          <w:szCs w:val="24"/>
          <w:lang w:val="en-ID"/>
        </w:rPr>
      </w:pPr>
    </w:p>
    <w:p w14:paraId="0CD7EC01" w14:textId="77777777" w:rsidR="0065219B" w:rsidRDefault="0065219B" w:rsidP="0065219B"/>
    <w:p w14:paraId="61B28307" w14:textId="77777777" w:rsidR="00AD44D2" w:rsidRDefault="00AD44D2"/>
    <w:sectPr w:rsidR="00AD44D2" w:rsidSect="007E3513">
      <w:head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635B7" w14:textId="77777777" w:rsidR="004B4520" w:rsidRDefault="004B4520" w:rsidP="0065219B">
      <w:pPr>
        <w:spacing w:after="0" w:line="240" w:lineRule="auto"/>
      </w:pPr>
      <w:r>
        <w:separator/>
      </w:r>
    </w:p>
  </w:endnote>
  <w:endnote w:type="continuationSeparator" w:id="0">
    <w:p w14:paraId="50A86DF6" w14:textId="77777777" w:rsidR="004B4520" w:rsidRDefault="004B4520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CE68" w14:textId="77777777" w:rsidR="004B4520" w:rsidRDefault="004B4520" w:rsidP="0065219B">
      <w:pPr>
        <w:spacing w:after="0" w:line="240" w:lineRule="auto"/>
      </w:pPr>
      <w:r>
        <w:separator/>
      </w:r>
    </w:p>
  </w:footnote>
  <w:footnote w:type="continuationSeparator" w:id="0">
    <w:p w14:paraId="5FDD9B6B" w14:textId="77777777" w:rsidR="004B4520" w:rsidRDefault="004B4520" w:rsidP="0065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891A" w14:textId="77777777" w:rsidR="00562DDA" w:rsidRPr="00562DDA" w:rsidRDefault="004B4520" w:rsidP="00562DDA">
    <w:pPr>
      <w:pStyle w:val="Header"/>
      <w:jc w:val="right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E1F7F" wp14:editId="384B22F4">
          <wp:simplePos x="0" y="0"/>
          <wp:positionH relativeFrom="column">
            <wp:posOffset>-267335</wp:posOffset>
          </wp:positionH>
          <wp:positionV relativeFrom="paragraph">
            <wp:posOffset>-314325</wp:posOffset>
          </wp:positionV>
          <wp:extent cx="1495425" cy="876300"/>
          <wp:effectExtent l="0" t="0" r="0" b="0"/>
          <wp:wrapThrough wrapText="bothSides">
            <wp:wrapPolygon edited="0">
              <wp:start x="7154" y="6104"/>
              <wp:lineTo x="4127" y="7043"/>
              <wp:lineTo x="3852" y="12209"/>
              <wp:lineTo x="4678" y="15026"/>
              <wp:lineTo x="6054" y="15026"/>
              <wp:lineTo x="17060" y="14087"/>
              <wp:lineTo x="17335" y="7513"/>
              <wp:lineTo x="8255" y="6104"/>
              <wp:lineTo x="7154" y="6104"/>
            </wp:wrapPolygon>
          </wp:wrapThrough>
          <wp:docPr id="430997874" name="Picture 1" descr="A logo with blue and pink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04844" name="Picture 1" descr="A logo with blue and pink colo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proofErr w:type="spellStart"/>
    <w:r w:rsidRPr="00562DDA">
      <w:rPr>
        <w:b/>
        <w:bCs/>
        <w:sz w:val="18"/>
        <w:szCs w:val="18"/>
      </w:rPr>
      <w:t>Siaran</w:t>
    </w:r>
    <w:proofErr w:type="spellEnd"/>
    <w:r w:rsidRPr="00562DDA">
      <w:rPr>
        <w:b/>
        <w:bCs/>
        <w:sz w:val="18"/>
        <w:szCs w:val="18"/>
      </w:rPr>
      <w:t xml:space="preserve"> Pers</w:t>
    </w:r>
  </w:p>
  <w:p w14:paraId="67E980C3" w14:textId="77777777" w:rsidR="00562DDA" w:rsidRPr="00562DDA" w:rsidRDefault="004B4520" w:rsidP="00562DDA">
    <w:pPr>
      <w:pStyle w:val="Header"/>
      <w:jc w:val="right"/>
      <w:rPr>
        <w:sz w:val="18"/>
        <w:szCs w:val="18"/>
      </w:rPr>
    </w:pPr>
    <w:proofErr w:type="spellStart"/>
    <w:r w:rsidRPr="00562DDA">
      <w:rPr>
        <w:sz w:val="18"/>
        <w:szCs w:val="18"/>
      </w:rPr>
      <w:t>Untuk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Segera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Disiarkan</w:t>
    </w:r>
    <w:proofErr w:type="spellEnd"/>
  </w:p>
  <w:p w14:paraId="03FD9C46" w14:textId="1EC37364" w:rsidR="00562DDA" w:rsidRDefault="0065219B" w:rsidP="00562DDA">
    <w:pPr>
      <w:pStyle w:val="Header"/>
      <w:jc w:val="right"/>
    </w:pPr>
    <w:proofErr w:type="spellStart"/>
    <w:r>
      <w:rPr>
        <w:sz w:val="18"/>
        <w:szCs w:val="18"/>
      </w:rPr>
      <w:t>Jumat</w:t>
    </w:r>
    <w:proofErr w:type="spellEnd"/>
    <w:r w:rsidR="004B4520" w:rsidRPr="00562DDA">
      <w:rPr>
        <w:sz w:val="18"/>
        <w:szCs w:val="18"/>
      </w:rPr>
      <w:t xml:space="preserve">, </w:t>
    </w:r>
    <w:r>
      <w:rPr>
        <w:sz w:val="18"/>
        <w:szCs w:val="18"/>
      </w:rPr>
      <w:t>15</w:t>
    </w:r>
    <w:r w:rsidR="004B4520">
      <w:rPr>
        <w:sz w:val="18"/>
        <w:szCs w:val="18"/>
      </w:rPr>
      <w:t xml:space="preserve"> </w:t>
    </w:r>
    <w:proofErr w:type="spellStart"/>
    <w:r w:rsidR="004B4520">
      <w:rPr>
        <w:sz w:val="18"/>
        <w:szCs w:val="18"/>
      </w:rPr>
      <w:t>Agustus</w:t>
    </w:r>
    <w:proofErr w:type="spellEnd"/>
    <w:r w:rsidR="004B4520" w:rsidRPr="00562DDA">
      <w:rPr>
        <w:sz w:val="18"/>
        <w:szCs w:val="18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9B"/>
    <w:rsid w:val="004B4520"/>
    <w:rsid w:val="005C2413"/>
    <w:rsid w:val="00600573"/>
    <w:rsid w:val="0065219B"/>
    <w:rsid w:val="00781034"/>
    <w:rsid w:val="00A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7FAF1"/>
  <w15:chartTrackingRefBased/>
  <w15:docId w15:val="{F2FC224C-1D50-5044-A4C1-C8F1C03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9B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9B"/>
    <w:rPr>
      <w:kern w:val="2"/>
      <w:sz w:val="22"/>
      <w:szCs w:val="2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219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9B"/>
    <w:rPr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to:+012(345)678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DE086-F4E9-2A4A-999B-A748477B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2025-08-15T02:53:00Z</dcterms:created>
  <dcterms:modified xsi:type="dcterms:W3CDTF">2025-08-15T02:53:00Z</dcterms:modified>
</cp:coreProperties>
</file>