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B4543" w14:textId="77777777" w:rsidR="000E74CF" w:rsidRDefault="000E74CF" w:rsidP="000E74CF">
      <w:pPr>
        <w:spacing w:line="240" w:lineRule="auto"/>
        <w:jc w:val="center"/>
        <w:rPr>
          <w:rFonts w:ascii="Calibri" w:hAnsi="Calibri" w:cs="Calibri"/>
          <w:b/>
          <w:sz w:val="32"/>
          <w:szCs w:val="32"/>
        </w:rPr>
      </w:pPr>
    </w:p>
    <w:p w14:paraId="464182AC" w14:textId="5D10376D" w:rsidR="000E74CF" w:rsidRPr="000E74CF" w:rsidRDefault="000E74CF" w:rsidP="000E74CF">
      <w:pPr>
        <w:spacing w:line="240" w:lineRule="auto"/>
        <w:jc w:val="center"/>
        <w:rPr>
          <w:rFonts w:ascii="Calibri" w:hAnsi="Calibri" w:cs="Calibri"/>
          <w:b/>
          <w:sz w:val="32"/>
          <w:szCs w:val="32"/>
        </w:rPr>
      </w:pPr>
      <w:proofErr w:type="spellStart"/>
      <w:r w:rsidRPr="000E74CF">
        <w:rPr>
          <w:rFonts w:ascii="Calibri" w:hAnsi="Calibri" w:cs="Calibri"/>
          <w:b/>
          <w:sz w:val="32"/>
          <w:szCs w:val="32"/>
        </w:rPr>
        <w:t>Triliunan</w:t>
      </w:r>
      <w:proofErr w:type="spellEnd"/>
      <w:r w:rsidRPr="000E74CF">
        <w:rPr>
          <w:rFonts w:ascii="Calibri" w:hAnsi="Calibri" w:cs="Calibri"/>
          <w:b/>
          <w:sz w:val="32"/>
          <w:szCs w:val="32"/>
        </w:rPr>
        <w:t xml:space="preserve"> </w:t>
      </w:r>
      <w:proofErr w:type="spellStart"/>
      <w:r w:rsidRPr="000E74CF">
        <w:rPr>
          <w:rFonts w:ascii="Calibri" w:hAnsi="Calibri" w:cs="Calibri"/>
          <w:b/>
          <w:sz w:val="32"/>
          <w:szCs w:val="32"/>
        </w:rPr>
        <w:t>Potensi</w:t>
      </w:r>
      <w:proofErr w:type="spellEnd"/>
      <w:r w:rsidRPr="000E74CF">
        <w:rPr>
          <w:rFonts w:ascii="Calibri" w:hAnsi="Calibri" w:cs="Calibri"/>
          <w:b/>
          <w:sz w:val="32"/>
          <w:szCs w:val="32"/>
        </w:rPr>
        <w:t xml:space="preserve"> </w:t>
      </w:r>
      <w:proofErr w:type="spellStart"/>
      <w:r w:rsidRPr="000E74CF">
        <w:rPr>
          <w:rFonts w:ascii="Calibri" w:hAnsi="Calibri" w:cs="Calibri"/>
          <w:b/>
          <w:sz w:val="32"/>
          <w:szCs w:val="32"/>
        </w:rPr>
        <w:t>Pendapatan</w:t>
      </w:r>
      <w:proofErr w:type="spellEnd"/>
      <w:r w:rsidRPr="000E74CF">
        <w:rPr>
          <w:rFonts w:ascii="Calibri" w:hAnsi="Calibri" w:cs="Calibri"/>
          <w:b/>
          <w:sz w:val="32"/>
          <w:szCs w:val="32"/>
        </w:rPr>
        <w:t xml:space="preserve"> Negara </w:t>
      </w:r>
      <w:proofErr w:type="spellStart"/>
      <w:r w:rsidRPr="000E74CF">
        <w:rPr>
          <w:rFonts w:ascii="Calibri" w:hAnsi="Calibri" w:cs="Calibri"/>
          <w:b/>
          <w:sz w:val="32"/>
          <w:szCs w:val="32"/>
        </w:rPr>
        <w:t>Hilang</w:t>
      </w:r>
      <w:proofErr w:type="spellEnd"/>
      <w:r w:rsidRPr="000E74CF">
        <w:rPr>
          <w:rFonts w:ascii="Calibri" w:hAnsi="Calibri" w:cs="Calibri"/>
          <w:b/>
          <w:sz w:val="32"/>
          <w:szCs w:val="32"/>
        </w:rPr>
        <w:t xml:space="preserve"> </w:t>
      </w:r>
    </w:p>
    <w:p w14:paraId="5A3ED454" w14:textId="77777777" w:rsidR="000E74CF" w:rsidRDefault="000E74CF" w:rsidP="000E74CF">
      <w:pPr>
        <w:spacing w:before="240" w:after="240" w:line="240" w:lineRule="auto"/>
        <w:jc w:val="both"/>
        <w:rPr>
          <w:rFonts w:ascii="Calibri" w:hAnsi="Calibri" w:cs="Calibri"/>
          <w:sz w:val="24"/>
          <w:szCs w:val="24"/>
        </w:rPr>
      </w:pPr>
      <w:r w:rsidRPr="005E372E">
        <w:rPr>
          <w:rFonts w:ascii="Calibri" w:hAnsi="Calibri" w:cs="Calibri"/>
          <w:sz w:val="24"/>
          <w:szCs w:val="24"/>
        </w:rPr>
        <w:t xml:space="preserve">JAKARTA – </w:t>
      </w:r>
      <w:proofErr w:type="spellStart"/>
      <w:r>
        <w:rPr>
          <w:rFonts w:ascii="Calibri" w:hAnsi="Calibri" w:cs="Calibri"/>
          <w:sz w:val="24"/>
          <w:szCs w:val="24"/>
        </w:rPr>
        <w:t>Perbedaan</w:t>
      </w:r>
      <w:proofErr w:type="spellEnd"/>
      <w:r>
        <w:rPr>
          <w:rFonts w:ascii="Calibri" w:hAnsi="Calibri" w:cs="Calibri"/>
          <w:sz w:val="24"/>
          <w:szCs w:val="24"/>
        </w:rPr>
        <w:t xml:space="preserve"> </w:t>
      </w:r>
      <w:proofErr w:type="spellStart"/>
      <w:r>
        <w:rPr>
          <w:rFonts w:ascii="Calibri" w:hAnsi="Calibri" w:cs="Calibri"/>
          <w:sz w:val="24"/>
          <w:szCs w:val="24"/>
        </w:rPr>
        <w:t>pencatatan</w:t>
      </w:r>
      <w:proofErr w:type="spellEnd"/>
      <w:r>
        <w:rPr>
          <w:rFonts w:ascii="Calibri" w:hAnsi="Calibri" w:cs="Calibri"/>
          <w:sz w:val="24"/>
          <w:szCs w:val="24"/>
        </w:rPr>
        <w:t xml:space="preserve"> </w:t>
      </w:r>
      <w:proofErr w:type="spellStart"/>
      <w:r>
        <w:rPr>
          <w:rFonts w:ascii="Calibri" w:hAnsi="Calibri" w:cs="Calibri"/>
          <w:sz w:val="24"/>
          <w:szCs w:val="24"/>
        </w:rPr>
        <w:t>nilai</w:t>
      </w:r>
      <w:proofErr w:type="spellEnd"/>
      <w:r>
        <w:rPr>
          <w:rFonts w:ascii="Calibri" w:hAnsi="Calibri" w:cs="Calibri"/>
          <w:sz w:val="24"/>
          <w:szCs w:val="24"/>
        </w:rPr>
        <w:t xml:space="preserve"> </w:t>
      </w:r>
      <w:proofErr w:type="spellStart"/>
      <w:r>
        <w:rPr>
          <w:rFonts w:ascii="Calibri" w:hAnsi="Calibri" w:cs="Calibri"/>
          <w:sz w:val="24"/>
          <w:szCs w:val="24"/>
        </w:rPr>
        <w:t>ekspor</w:t>
      </w:r>
      <w:proofErr w:type="spellEnd"/>
      <w:r>
        <w:rPr>
          <w:rFonts w:ascii="Calibri" w:hAnsi="Calibri" w:cs="Calibri"/>
          <w:sz w:val="24"/>
          <w:szCs w:val="24"/>
        </w:rPr>
        <w:t xml:space="preserve"> </w:t>
      </w:r>
      <w:proofErr w:type="spellStart"/>
      <w:r>
        <w:rPr>
          <w:rFonts w:ascii="Calibri" w:hAnsi="Calibri" w:cs="Calibri"/>
          <w:sz w:val="24"/>
          <w:szCs w:val="24"/>
        </w:rPr>
        <w:t>antara</w:t>
      </w:r>
      <w:proofErr w:type="spellEnd"/>
      <w:r>
        <w:rPr>
          <w:rFonts w:ascii="Calibri" w:hAnsi="Calibri" w:cs="Calibri"/>
          <w:sz w:val="24"/>
          <w:szCs w:val="24"/>
        </w:rPr>
        <w:t xml:space="preserve"> Indonesia </w:t>
      </w:r>
      <w:proofErr w:type="spellStart"/>
      <w:r>
        <w:rPr>
          <w:rFonts w:ascii="Calibri" w:hAnsi="Calibri" w:cs="Calibri"/>
          <w:sz w:val="24"/>
          <w:szCs w:val="24"/>
        </w:rPr>
        <w:t>dengan</w:t>
      </w:r>
      <w:proofErr w:type="spellEnd"/>
      <w:r>
        <w:rPr>
          <w:rFonts w:ascii="Calibri" w:hAnsi="Calibri" w:cs="Calibri"/>
          <w:sz w:val="24"/>
          <w:szCs w:val="24"/>
        </w:rPr>
        <w:t xml:space="preserve"> negara </w:t>
      </w:r>
      <w:proofErr w:type="spellStart"/>
      <w:r>
        <w:rPr>
          <w:rFonts w:ascii="Calibri" w:hAnsi="Calibri" w:cs="Calibri"/>
          <w:sz w:val="24"/>
          <w:szCs w:val="24"/>
        </w:rPr>
        <w:t>mitra</w:t>
      </w:r>
      <w:proofErr w:type="spellEnd"/>
      <w:r>
        <w:rPr>
          <w:rFonts w:ascii="Calibri" w:hAnsi="Calibri" w:cs="Calibri"/>
          <w:sz w:val="24"/>
          <w:szCs w:val="24"/>
        </w:rPr>
        <w:t xml:space="preserve"> </w:t>
      </w:r>
      <w:proofErr w:type="spellStart"/>
      <w:r>
        <w:rPr>
          <w:rFonts w:ascii="Calibri" w:hAnsi="Calibri" w:cs="Calibri"/>
          <w:sz w:val="24"/>
          <w:szCs w:val="24"/>
        </w:rPr>
        <w:t>dagang</w:t>
      </w:r>
      <w:proofErr w:type="spellEnd"/>
      <w:r>
        <w:rPr>
          <w:rFonts w:ascii="Calibri" w:hAnsi="Calibri" w:cs="Calibri"/>
          <w:sz w:val="24"/>
          <w:szCs w:val="24"/>
        </w:rPr>
        <w:t xml:space="preserve"> </w:t>
      </w:r>
      <w:proofErr w:type="spellStart"/>
      <w:r>
        <w:rPr>
          <w:rFonts w:ascii="Calibri" w:hAnsi="Calibri" w:cs="Calibri"/>
          <w:sz w:val="24"/>
          <w:szCs w:val="24"/>
        </w:rPr>
        <w:t>membuat</w:t>
      </w:r>
      <w:proofErr w:type="spellEnd"/>
      <w:r>
        <w:rPr>
          <w:rFonts w:ascii="Calibri" w:hAnsi="Calibri" w:cs="Calibri"/>
          <w:sz w:val="24"/>
          <w:szCs w:val="24"/>
        </w:rPr>
        <w:t xml:space="preserve"> </w:t>
      </w:r>
      <w:proofErr w:type="spellStart"/>
      <w:r>
        <w:rPr>
          <w:rFonts w:ascii="Calibri" w:hAnsi="Calibri" w:cs="Calibri"/>
          <w:sz w:val="24"/>
          <w:szCs w:val="24"/>
        </w:rPr>
        <w:t>potensi</w:t>
      </w:r>
      <w:proofErr w:type="spellEnd"/>
      <w:r>
        <w:rPr>
          <w:rFonts w:ascii="Calibri" w:hAnsi="Calibri" w:cs="Calibri"/>
          <w:sz w:val="24"/>
          <w:szCs w:val="24"/>
        </w:rPr>
        <w:t xml:space="preserve"> </w:t>
      </w:r>
      <w:proofErr w:type="spellStart"/>
      <w:r>
        <w:rPr>
          <w:rFonts w:ascii="Calibri" w:hAnsi="Calibri" w:cs="Calibri"/>
          <w:sz w:val="24"/>
          <w:szCs w:val="24"/>
        </w:rPr>
        <w:t>penerimaan</w:t>
      </w:r>
      <w:proofErr w:type="spellEnd"/>
      <w:r>
        <w:rPr>
          <w:rFonts w:ascii="Calibri" w:hAnsi="Calibri" w:cs="Calibri"/>
          <w:sz w:val="24"/>
          <w:szCs w:val="24"/>
        </w:rPr>
        <w:t xml:space="preserve"> negara </w:t>
      </w:r>
      <w:proofErr w:type="spellStart"/>
      <w:r>
        <w:rPr>
          <w:rFonts w:ascii="Calibri" w:hAnsi="Calibri" w:cs="Calibri"/>
          <w:sz w:val="24"/>
          <w:szCs w:val="24"/>
        </w:rPr>
        <w:t>banyak</w:t>
      </w:r>
      <w:proofErr w:type="spellEnd"/>
      <w:r>
        <w:rPr>
          <w:rFonts w:ascii="Calibri" w:hAnsi="Calibri" w:cs="Calibri"/>
          <w:sz w:val="24"/>
          <w:szCs w:val="24"/>
        </w:rPr>
        <w:t xml:space="preserve"> yang </w:t>
      </w:r>
      <w:proofErr w:type="spellStart"/>
      <w:r>
        <w:rPr>
          <w:rFonts w:ascii="Calibri" w:hAnsi="Calibri" w:cs="Calibri"/>
          <w:sz w:val="24"/>
          <w:szCs w:val="24"/>
        </w:rPr>
        <w:t>hilang</w:t>
      </w:r>
      <w:proofErr w:type="spellEnd"/>
      <w:r>
        <w:rPr>
          <w:rFonts w:ascii="Calibri" w:hAnsi="Calibri" w:cs="Calibri"/>
          <w:sz w:val="24"/>
          <w:szCs w:val="24"/>
        </w:rPr>
        <w:t xml:space="preserve">. </w:t>
      </w:r>
      <w:proofErr w:type="spellStart"/>
      <w:r>
        <w:rPr>
          <w:rFonts w:ascii="Calibri" w:hAnsi="Calibri" w:cs="Calibri"/>
          <w:sz w:val="24"/>
          <w:szCs w:val="24"/>
        </w:rPr>
        <w:t>Dalam</w:t>
      </w:r>
      <w:proofErr w:type="spellEnd"/>
      <w:r>
        <w:rPr>
          <w:rFonts w:ascii="Calibri" w:hAnsi="Calibri" w:cs="Calibri"/>
          <w:sz w:val="24"/>
          <w:szCs w:val="24"/>
        </w:rPr>
        <w:t xml:space="preserve"> 10 </w:t>
      </w:r>
      <w:proofErr w:type="spellStart"/>
      <w:r>
        <w:rPr>
          <w:rFonts w:ascii="Calibri" w:hAnsi="Calibri" w:cs="Calibri"/>
          <w:sz w:val="24"/>
          <w:szCs w:val="24"/>
        </w:rPr>
        <w:t>tahun</w:t>
      </w:r>
      <w:proofErr w:type="spellEnd"/>
      <w:r>
        <w:rPr>
          <w:rFonts w:ascii="Calibri" w:hAnsi="Calibri" w:cs="Calibri"/>
          <w:sz w:val="24"/>
          <w:szCs w:val="24"/>
        </w:rPr>
        <w:t xml:space="preserve"> </w:t>
      </w:r>
      <w:proofErr w:type="spellStart"/>
      <w:r>
        <w:rPr>
          <w:rFonts w:ascii="Calibri" w:hAnsi="Calibri" w:cs="Calibri"/>
          <w:sz w:val="24"/>
          <w:szCs w:val="24"/>
        </w:rPr>
        <w:t>terakhir</w:t>
      </w:r>
      <w:proofErr w:type="spellEnd"/>
      <w:r>
        <w:rPr>
          <w:rFonts w:ascii="Calibri" w:hAnsi="Calibri" w:cs="Calibri"/>
          <w:sz w:val="24"/>
          <w:szCs w:val="24"/>
        </w:rPr>
        <w:t xml:space="preserve">, </w:t>
      </w:r>
      <w:proofErr w:type="spellStart"/>
      <w:r>
        <w:rPr>
          <w:rFonts w:ascii="Calibri" w:hAnsi="Calibri" w:cs="Calibri"/>
          <w:sz w:val="24"/>
          <w:szCs w:val="24"/>
        </w:rPr>
        <w:t>nilai</w:t>
      </w:r>
      <w:proofErr w:type="spellEnd"/>
      <w:r>
        <w:rPr>
          <w:rFonts w:ascii="Calibri" w:hAnsi="Calibri" w:cs="Calibri"/>
          <w:sz w:val="24"/>
          <w:szCs w:val="24"/>
        </w:rPr>
        <w:t xml:space="preserve"> </w:t>
      </w:r>
      <w:proofErr w:type="spellStart"/>
      <w:r>
        <w:rPr>
          <w:rFonts w:ascii="Calibri" w:hAnsi="Calibri" w:cs="Calibri"/>
          <w:sz w:val="24"/>
          <w:szCs w:val="24"/>
        </w:rPr>
        <w:t>ekspor</w:t>
      </w:r>
      <w:proofErr w:type="spellEnd"/>
      <w:r>
        <w:rPr>
          <w:rFonts w:ascii="Calibri" w:hAnsi="Calibri" w:cs="Calibri"/>
          <w:sz w:val="24"/>
          <w:szCs w:val="24"/>
        </w:rPr>
        <w:t xml:space="preserve"> </w:t>
      </w:r>
      <w:proofErr w:type="spellStart"/>
      <w:r>
        <w:rPr>
          <w:rFonts w:ascii="Calibri" w:hAnsi="Calibri" w:cs="Calibri"/>
          <w:sz w:val="24"/>
          <w:szCs w:val="24"/>
        </w:rPr>
        <w:t>gelap</w:t>
      </w:r>
      <w:proofErr w:type="spellEnd"/>
      <w:r>
        <w:rPr>
          <w:rFonts w:ascii="Calibri" w:hAnsi="Calibri" w:cs="Calibri"/>
          <w:sz w:val="24"/>
          <w:szCs w:val="24"/>
        </w:rPr>
        <w:t xml:space="preserve"> </w:t>
      </w:r>
      <w:proofErr w:type="spellStart"/>
      <w:r>
        <w:rPr>
          <w:rFonts w:ascii="Calibri" w:hAnsi="Calibri" w:cs="Calibri"/>
          <w:sz w:val="24"/>
          <w:szCs w:val="24"/>
        </w:rPr>
        <w:t>atau</w:t>
      </w:r>
      <w:proofErr w:type="spellEnd"/>
      <w:r>
        <w:rPr>
          <w:rFonts w:ascii="Calibri" w:hAnsi="Calibri" w:cs="Calibri"/>
          <w:sz w:val="24"/>
          <w:szCs w:val="24"/>
        </w:rPr>
        <w:t xml:space="preserve"> </w:t>
      </w:r>
      <w:proofErr w:type="spellStart"/>
      <w:r>
        <w:rPr>
          <w:rFonts w:ascii="Calibri" w:hAnsi="Calibri" w:cs="Calibri"/>
          <w:sz w:val="24"/>
          <w:szCs w:val="24"/>
        </w:rPr>
        <w:t>selisih</w:t>
      </w:r>
      <w:proofErr w:type="spellEnd"/>
      <w:r>
        <w:rPr>
          <w:rFonts w:ascii="Calibri" w:hAnsi="Calibri" w:cs="Calibri"/>
          <w:sz w:val="24"/>
          <w:szCs w:val="24"/>
        </w:rPr>
        <w:t xml:space="preserve"> </w:t>
      </w:r>
      <w:proofErr w:type="spellStart"/>
      <w:r>
        <w:rPr>
          <w:rFonts w:ascii="Calibri" w:hAnsi="Calibri" w:cs="Calibri"/>
          <w:sz w:val="24"/>
          <w:szCs w:val="24"/>
        </w:rPr>
        <w:t>pencatatan</w:t>
      </w:r>
      <w:proofErr w:type="spellEnd"/>
      <w:r>
        <w:rPr>
          <w:rFonts w:ascii="Calibri" w:hAnsi="Calibri" w:cs="Calibri"/>
          <w:sz w:val="24"/>
          <w:szCs w:val="24"/>
        </w:rPr>
        <w:t xml:space="preserve"> </w:t>
      </w:r>
      <w:proofErr w:type="spellStart"/>
      <w:r>
        <w:rPr>
          <w:rFonts w:ascii="Calibri" w:hAnsi="Calibri" w:cs="Calibri"/>
          <w:sz w:val="24"/>
          <w:szCs w:val="24"/>
        </w:rPr>
        <w:t>dalam</w:t>
      </w:r>
      <w:proofErr w:type="spellEnd"/>
      <w:r>
        <w:rPr>
          <w:rFonts w:ascii="Calibri" w:hAnsi="Calibri" w:cs="Calibri"/>
          <w:sz w:val="24"/>
          <w:szCs w:val="24"/>
        </w:rPr>
        <w:t xml:space="preserve"> </w:t>
      </w:r>
      <w:proofErr w:type="spellStart"/>
      <w:r>
        <w:rPr>
          <w:rFonts w:ascii="Calibri" w:hAnsi="Calibri" w:cs="Calibri"/>
          <w:sz w:val="24"/>
          <w:szCs w:val="24"/>
        </w:rPr>
        <w:t>kegiatan</w:t>
      </w:r>
      <w:proofErr w:type="spellEnd"/>
      <w:r>
        <w:rPr>
          <w:rFonts w:ascii="Calibri" w:hAnsi="Calibri" w:cs="Calibri"/>
          <w:sz w:val="24"/>
          <w:szCs w:val="24"/>
        </w:rPr>
        <w:t xml:space="preserve"> </w:t>
      </w:r>
      <w:proofErr w:type="spellStart"/>
      <w:r>
        <w:rPr>
          <w:rFonts w:ascii="Calibri" w:hAnsi="Calibri" w:cs="Calibri"/>
          <w:sz w:val="24"/>
          <w:szCs w:val="24"/>
        </w:rPr>
        <w:t>ekspor</w:t>
      </w:r>
      <w:proofErr w:type="spellEnd"/>
      <w:r>
        <w:rPr>
          <w:rFonts w:ascii="Calibri" w:hAnsi="Calibri" w:cs="Calibri"/>
          <w:sz w:val="24"/>
          <w:szCs w:val="24"/>
        </w:rPr>
        <w:t xml:space="preserve"> </w:t>
      </w:r>
      <w:proofErr w:type="spellStart"/>
      <w:r>
        <w:rPr>
          <w:rFonts w:ascii="Calibri" w:hAnsi="Calibri" w:cs="Calibri"/>
          <w:sz w:val="24"/>
          <w:szCs w:val="24"/>
        </w:rPr>
        <w:t>mencapai</w:t>
      </w:r>
      <w:proofErr w:type="spellEnd"/>
      <w:r>
        <w:rPr>
          <w:rFonts w:ascii="Calibri" w:hAnsi="Calibri" w:cs="Calibri"/>
          <w:sz w:val="24"/>
          <w:szCs w:val="24"/>
        </w:rPr>
        <w:t xml:space="preserve"> US$654,5 </w:t>
      </w:r>
      <w:proofErr w:type="spellStart"/>
      <w:r>
        <w:rPr>
          <w:rFonts w:ascii="Calibri" w:hAnsi="Calibri" w:cs="Calibri"/>
          <w:sz w:val="24"/>
          <w:szCs w:val="24"/>
        </w:rPr>
        <w:t>miliar</w:t>
      </w:r>
      <w:proofErr w:type="spellEnd"/>
      <w:r>
        <w:rPr>
          <w:rFonts w:ascii="Calibri" w:hAnsi="Calibri" w:cs="Calibri"/>
          <w:sz w:val="24"/>
          <w:szCs w:val="24"/>
        </w:rPr>
        <w:t xml:space="preserve"> yang </w:t>
      </w:r>
      <w:proofErr w:type="spellStart"/>
      <w:r>
        <w:rPr>
          <w:rFonts w:ascii="Calibri" w:hAnsi="Calibri" w:cs="Calibri"/>
          <w:sz w:val="24"/>
          <w:szCs w:val="24"/>
        </w:rPr>
        <w:t>lazim</w:t>
      </w:r>
      <w:proofErr w:type="spellEnd"/>
      <w:r>
        <w:rPr>
          <w:rFonts w:ascii="Calibri" w:hAnsi="Calibri" w:cs="Calibri"/>
          <w:sz w:val="24"/>
          <w:szCs w:val="24"/>
        </w:rPr>
        <w:t xml:space="preserve"> </w:t>
      </w:r>
      <w:proofErr w:type="spellStart"/>
      <w:r>
        <w:rPr>
          <w:rFonts w:ascii="Calibri" w:hAnsi="Calibri" w:cs="Calibri"/>
          <w:sz w:val="24"/>
          <w:szCs w:val="24"/>
        </w:rPr>
        <w:t>dikenal</w:t>
      </w:r>
      <w:proofErr w:type="spellEnd"/>
      <w:r>
        <w:rPr>
          <w:rFonts w:ascii="Calibri" w:hAnsi="Calibri" w:cs="Calibri"/>
          <w:sz w:val="24"/>
          <w:szCs w:val="24"/>
        </w:rPr>
        <w:t xml:space="preserve"> </w:t>
      </w:r>
      <w:proofErr w:type="spellStart"/>
      <w:r>
        <w:rPr>
          <w:rFonts w:ascii="Calibri" w:hAnsi="Calibri" w:cs="Calibri"/>
          <w:sz w:val="24"/>
          <w:szCs w:val="24"/>
        </w:rPr>
        <w:t>sebagai</w:t>
      </w:r>
      <w:proofErr w:type="spellEnd"/>
      <w:r>
        <w:rPr>
          <w:rFonts w:ascii="Calibri" w:hAnsi="Calibri" w:cs="Calibri"/>
          <w:sz w:val="24"/>
          <w:szCs w:val="24"/>
        </w:rPr>
        <w:t xml:space="preserve"> dana </w:t>
      </w:r>
      <w:proofErr w:type="spellStart"/>
      <w:r>
        <w:rPr>
          <w:rFonts w:ascii="Calibri" w:hAnsi="Calibri" w:cs="Calibri"/>
          <w:sz w:val="24"/>
          <w:szCs w:val="24"/>
        </w:rPr>
        <w:t>siluman</w:t>
      </w:r>
      <w:proofErr w:type="spellEnd"/>
      <w:r>
        <w:rPr>
          <w:rFonts w:ascii="Calibri" w:hAnsi="Calibri" w:cs="Calibri"/>
          <w:sz w:val="24"/>
          <w:szCs w:val="24"/>
        </w:rPr>
        <w:t xml:space="preserve"> (</w:t>
      </w:r>
      <w:r w:rsidRPr="005E372E">
        <w:rPr>
          <w:rFonts w:ascii="Calibri" w:hAnsi="Calibri" w:cs="Calibri"/>
          <w:i/>
          <w:iCs/>
          <w:sz w:val="24"/>
          <w:szCs w:val="24"/>
        </w:rPr>
        <w:t>illicit finan</w:t>
      </w:r>
      <w:r>
        <w:rPr>
          <w:rFonts w:ascii="Calibri" w:hAnsi="Calibri" w:cs="Calibri"/>
          <w:i/>
          <w:iCs/>
          <w:sz w:val="24"/>
          <w:szCs w:val="24"/>
        </w:rPr>
        <w:t>c</w:t>
      </w:r>
      <w:r w:rsidRPr="005E372E">
        <w:rPr>
          <w:rFonts w:ascii="Calibri" w:hAnsi="Calibri" w:cs="Calibri"/>
          <w:i/>
          <w:iCs/>
          <w:sz w:val="24"/>
          <w:szCs w:val="24"/>
        </w:rPr>
        <w:t>ial</w:t>
      </w:r>
      <w:r>
        <w:rPr>
          <w:rFonts w:ascii="Calibri" w:hAnsi="Calibri" w:cs="Calibri"/>
          <w:sz w:val="24"/>
          <w:szCs w:val="24"/>
        </w:rPr>
        <w:t>).</w:t>
      </w:r>
    </w:p>
    <w:p w14:paraId="37647E2C" w14:textId="77777777" w:rsidR="000E74CF" w:rsidRDefault="000E74CF" w:rsidP="000E74CF">
      <w:pPr>
        <w:spacing w:before="240" w:after="240" w:line="240" w:lineRule="auto"/>
        <w:jc w:val="both"/>
        <w:rPr>
          <w:rFonts w:ascii="Calibri" w:hAnsi="Calibri" w:cs="Calibri"/>
          <w:sz w:val="24"/>
          <w:szCs w:val="24"/>
        </w:rPr>
      </w:pPr>
      <w:r>
        <w:rPr>
          <w:rFonts w:ascii="Calibri" w:hAnsi="Calibri" w:cs="Calibri"/>
          <w:sz w:val="24"/>
          <w:szCs w:val="24"/>
        </w:rPr>
        <w:t xml:space="preserve">Dana </w:t>
      </w:r>
      <w:proofErr w:type="spellStart"/>
      <w:r>
        <w:rPr>
          <w:rFonts w:ascii="Calibri" w:hAnsi="Calibri" w:cs="Calibri"/>
          <w:sz w:val="24"/>
          <w:szCs w:val="24"/>
        </w:rPr>
        <w:t>siluman</w:t>
      </w:r>
      <w:proofErr w:type="spellEnd"/>
      <w:r>
        <w:rPr>
          <w:rFonts w:ascii="Calibri" w:hAnsi="Calibri" w:cs="Calibri"/>
          <w:sz w:val="24"/>
          <w:szCs w:val="24"/>
        </w:rPr>
        <w:t xml:space="preserve"> </w:t>
      </w:r>
      <w:proofErr w:type="spellStart"/>
      <w:r>
        <w:rPr>
          <w:rFonts w:ascii="Calibri" w:hAnsi="Calibri" w:cs="Calibri"/>
          <w:sz w:val="24"/>
          <w:szCs w:val="24"/>
        </w:rPr>
        <w:t>dalam</w:t>
      </w:r>
      <w:proofErr w:type="spellEnd"/>
      <w:r>
        <w:rPr>
          <w:rFonts w:ascii="Calibri" w:hAnsi="Calibri" w:cs="Calibri"/>
          <w:sz w:val="24"/>
          <w:szCs w:val="24"/>
        </w:rPr>
        <w:t xml:space="preserve"> </w:t>
      </w:r>
      <w:proofErr w:type="spellStart"/>
      <w:r>
        <w:rPr>
          <w:rFonts w:ascii="Calibri" w:hAnsi="Calibri" w:cs="Calibri"/>
          <w:sz w:val="24"/>
          <w:szCs w:val="24"/>
        </w:rPr>
        <w:t>kegiatan</w:t>
      </w:r>
      <w:proofErr w:type="spellEnd"/>
      <w:r>
        <w:rPr>
          <w:rFonts w:ascii="Calibri" w:hAnsi="Calibri" w:cs="Calibri"/>
          <w:sz w:val="24"/>
          <w:szCs w:val="24"/>
        </w:rPr>
        <w:t xml:space="preserve"> </w:t>
      </w:r>
      <w:proofErr w:type="spellStart"/>
      <w:r>
        <w:rPr>
          <w:rFonts w:ascii="Calibri" w:hAnsi="Calibri" w:cs="Calibri"/>
          <w:sz w:val="24"/>
          <w:szCs w:val="24"/>
        </w:rPr>
        <w:t>ekspor</w:t>
      </w:r>
      <w:proofErr w:type="spellEnd"/>
      <w:r>
        <w:rPr>
          <w:rFonts w:ascii="Calibri" w:hAnsi="Calibri" w:cs="Calibri"/>
          <w:sz w:val="24"/>
          <w:szCs w:val="24"/>
        </w:rPr>
        <w:t xml:space="preserve"> Indonesia </w:t>
      </w:r>
      <w:proofErr w:type="spellStart"/>
      <w:r>
        <w:rPr>
          <w:rFonts w:ascii="Calibri" w:hAnsi="Calibri" w:cs="Calibri"/>
          <w:sz w:val="24"/>
          <w:szCs w:val="24"/>
        </w:rPr>
        <w:t>ke</w:t>
      </w:r>
      <w:proofErr w:type="spellEnd"/>
      <w:r>
        <w:rPr>
          <w:rFonts w:ascii="Calibri" w:hAnsi="Calibri" w:cs="Calibri"/>
          <w:sz w:val="24"/>
          <w:szCs w:val="24"/>
        </w:rPr>
        <w:t xml:space="preserve"> negara </w:t>
      </w:r>
      <w:proofErr w:type="spellStart"/>
      <w:r>
        <w:rPr>
          <w:rFonts w:ascii="Calibri" w:hAnsi="Calibri" w:cs="Calibri"/>
          <w:sz w:val="24"/>
          <w:szCs w:val="24"/>
        </w:rPr>
        <w:t>mitra</w:t>
      </w:r>
      <w:proofErr w:type="spellEnd"/>
      <w:r>
        <w:rPr>
          <w:rFonts w:ascii="Calibri" w:hAnsi="Calibri" w:cs="Calibri"/>
          <w:sz w:val="24"/>
          <w:szCs w:val="24"/>
        </w:rPr>
        <w:t xml:space="preserve"> </w:t>
      </w:r>
      <w:proofErr w:type="spellStart"/>
      <w:r>
        <w:rPr>
          <w:rFonts w:ascii="Calibri" w:hAnsi="Calibri" w:cs="Calibri"/>
          <w:sz w:val="24"/>
          <w:szCs w:val="24"/>
        </w:rPr>
        <w:t>itu</w:t>
      </w:r>
      <w:proofErr w:type="spellEnd"/>
      <w:r>
        <w:rPr>
          <w:rFonts w:ascii="Calibri" w:hAnsi="Calibri" w:cs="Calibri"/>
          <w:sz w:val="24"/>
          <w:szCs w:val="24"/>
        </w:rPr>
        <w:t xml:space="preserve"> </w:t>
      </w:r>
      <w:proofErr w:type="spellStart"/>
      <w:r>
        <w:rPr>
          <w:rFonts w:ascii="Calibri" w:hAnsi="Calibri" w:cs="Calibri"/>
          <w:sz w:val="24"/>
          <w:szCs w:val="24"/>
        </w:rPr>
        <w:t>terjadi</w:t>
      </w:r>
      <w:proofErr w:type="spellEnd"/>
      <w:r>
        <w:rPr>
          <w:rFonts w:ascii="Calibri" w:hAnsi="Calibri" w:cs="Calibri"/>
          <w:sz w:val="24"/>
          <w:szCs w:val="24"/>
        </w:rPr>
        <w:t xml:space="preserve"> </w:t>
      </w:r>
      <w:proofErr w:type="spellStart"/>
      <w:r>
        <w:rPr>
          <w:rFonts w:ascii="Calibri" w:hAnsi="Calibri" w:cs="Calibri"/>
          <w:sz w:val="24"/>
          <w:szCs w:val="24"/>
        </w:rPr>
        <w:t>akibat</w:t>
      </w:r>
      <w:proofErr w:type="spellEnd"/>
      <w:r>
        <w:rPr>
          <w:rFonts w:ascii="Calibri" w:hAnsi="Calibri" w:cs="Calibri"/>
          <w:sz w:val="24"/>
          <w:szCs w:val="24"/>
        </w:rPr>
        <w:t xml:space="preserve"> </w:t>
      </w:r>
      <w:proofErr w:type="spellStart"/>
      <w:r>
        <w:rPr>
          <w:rFonts w:ascii="Calibri" w:hAnsi="Calibri" w:cs="Calibri"/>
          <w:sz w:val="24"/>
          <w:szCs w:val="24"/>
        </w:rPr>
        <w:t>adanya</w:t>
      </w:r>
      <w:proofErr w:type="spellEnd"/>
      <w:r>
        <w:rPr>
          <w:rFonts w:ascii="Calibri" w:hAnsi="Calibri" w:cs="Calibri"/>
          <w:sz w:val="24"/>
          <w:szCs w:val="24"/>
        </w:rPr>
        <w:t xml:space="preserve"> </w:t>
      </w:r>
      <w:proofErr w:type="spellStart"/>
      <w:r w:rsidRPr="005E372E">
        <w:rPr>
          <w:rFonts w:ascii="Calibri" w:hAnsi="Calibri" w:cs="Calibri"/>
          <w:i/>
          <w:iCs/>
          <w:sz w:val="24"/>
          <w:szCs w:val="24"/>
        </w:rPr>
        <w:t>misinvoicing</w:t>
      </w:r>
      <w:proofErr w:type="spellEnd"/>
      <w:r>
        <w:rPr>
          <w:rFonts w:ascii="Calibri" w:hAnsi="Calibri" w:cs="Calibri"/>
          <w:sz w:val="24"/>
          <w:szCs w:val="24"/>
        </w:rPr>
        <w:t xml:space="preserve"> </w:t>
      </w:r>
      <w:proofErr w:type="spellStart"/>
      <w:r>
        <w:rPr>
          <w:rFonts w:ascii="Calibri" w:hAnsi="Calibri" w:cs="Calibri"/>
          <w:sz w:val="24"/>
          <w:szCs w:val="24"/>
        </w:rPr>
        <w:t>atau</w:t>
      </w:r>
      <w:proofErr w:type="spellEnd"/>
      <w:r>
        <w:rPr>
          <w:rFonts w:ascii="Calibri" w:hAnsi="Calibri" w:cs="Calibri"/>
          <w:sz w:val="24"/>
          <w:szCs w:val="24"/>
        </w:rPr>
        <w:t xml:space="preserve"> </w:t>
      </w:r>
      <w:proofErr w:type="spellStart"/>
      <w:r>
        <w:rPr>
          <w:rFonts w:ascii="Calibri" w:hAnsi="Calibri" w:cs="Calibri"/>
          <w:sz w:val="24"/>
          <w:szCs w:val="24"/>
        </w:rPr>
        <w:t>kecurangan</w:t>
      </w:r>
      <w:proofErr w:type="spellEnd"/>
      <w:r>
        <w:rPr>
          <w:rFonts w:ascii="Calibri" w:hAnsi="Calibri" w:cs="Calibri"/>
          <w:sz w:val="24"/>
          <w:szCs w:val="24"/>
        </w:rPr>
        <w:t xml:space="preserve"> </w:t>
      </w:r>
      <w:proofErr w:type="spellStart"/>
      <w:r>
        <w:rPr>
          <w:rFonts w:ascii="Calibri" w:hAnsi="Calibri" w:cs="Calibri"/>
          <w:sz w:val="24"/>
          <w:szCs w:val="24"/>
        </w:rPr>
        <w:t>dalam</w:t>
      </w:r>
      <w:proofErr w:type="spellEnd"/>
      <w:r>
        <w:rPr>
          <w:rFonts w:ascii="Calibri" w:hAnsi="Calibri" w:cs="Calibri"/>
          <w:sz w:val="24"/>
          <w:szCs w:val="24"/>
        </w:rPr>
        <w:t xml:space="preserve"> </w:t>
      </w:r>
      <w:proofErr w:type="spellStart"/>
      <w:r>
        <w:rPr>
          <w:rFonts w:ascii="Calibri" w:hAnsi="Calibri" w:cs="Calibri"/>
          <w:sz w:val="24"/>
          <w:szCs w:val="24"/>
        </w:rPr>
        <w:t>pencatatan</w:t>
      </w:r>
      <w:proofErr w:type="spellEnd"/>
      <w:r>
        <w:rPr>
          <w:rFonts w:ascii="Calibri" w:hAnsi="Calibri" w:cs="Calibri"/>
          <w:sz w:val="24"/>
          <w:szCs w:val="24"/>
        </w:rPr>
        <w:t xml:space="preserve">. </w:t>
      </w:r>
      <w:proofErr w:type="spellStart"/>
      <w:r>
        <w:rPr>
          <w:rFonts w:ascii="Calibri" w:hAnsi="Calibri" w:cs="Calibri"/>
          <w:sz w:val="24"/>
          <w:szCs w:val="24"/>
        </w:rPr>
        <w:t>Dalam</w:t>
      </w:r>
      <w:proofErr w:type="spellEnd"/>
      <w:r>
        <w:rPr>
          <w:rFonts w:ascii="Calibri" w:hAnsi="Calibri" w:cs="Calibri"/>
          <w:sz w:val="24"/>
          <w:szCs w:val="24"/>
        </w:rPr>
        <w:t xml:space="preserve"> 10 </w:t>
      </w:r>
      <w:proofErr w:type="spellStart"/>
      <w:r>
        <w:rPr>
          <w:rFonts w:ascii="Calibri" w:hAnsi="Calibri" w:cs="Calibri"/>
          <w:sz w:val="24"/>
          <w:szCs w:val="24"/>
        </w:rPr>
        <w:t>tahun</w:t>
      </w:r>
      <w:proofErr w:type="spellEnd"/>
      <w:r>
        <w:rPr>
          <w:rFonts w:ascii="Calibri" w:hAnsi="Calibri" w:cs="Calibri"/>
          <w:sz w:val="24"/>
          <w:szCs w:val="24"/>
        </w:rPr>
        <w:t xml:space="preserve"> </w:t>
      </w:r>
      <w:proofErr w:type="spellStart"/>
      <w:r>
        <w:rPr>
          <w:rFonts w:ascii="Calibri" w:hAnsi="Calibri" w:cs="Calibri"/>
          <w:sz w:val="24"/>
          <w:szCs w:val="24"/>
        </w:rPr>
        <w:t>terakhir</w:t>
      </w:r>
      <w:proofErr w:type="spellEnd"/>
      <w:r>
        <w:rPr>
          <w:rFonts w:ascii="Calibri" w:hAnsi="Calibri" w:cs="Calibri"/>
          <w:sz w:val="24"/>
          <w:szCs w:val="24"/>
        </w:rPr>
        <w:t xml:space="preserve"> (2014-2023), NEXT Indonesia Center </w:t>
      </w:r>
      <w:proofErr w:type="spellStart"/>
      <w:r>
        <w:rPr>
          <w:rFonts w:ascii="Calibri" w:hAnsi="Calibri" w:cs="Calibri"/>
          <w:sz w:val="24"/>
          <w:szCs w:val="24"/>
        </w:rPr>
        <w:t>menemukan</w:t>
      </w:r>
      <w:proofErr w:type="spellEnd"/>
      <w:r>
        <w:rPr>
          <w:rFonts w:ascii="Calibri" w:hAnsi="Calibri" w:cs="Calibri"/>
          <w:sz w:val="24"/>
          <w:szCs w:val="24"/>
        </w:rPr>
        <w:t xml:space="preserve"> </w:t>
      </w:r>
      <w:proofErr w:type="spellStart"/>
      <w:r>
        <w:rPr>
          <w:rFonts w:ascii="Calibri" w:hAnsi="Calibri" w:cs="Calibri"/>
          <w:sz w:val="24"/>
          <w:szCs w:val="24"/>
        </w:rPr>
        <w:t>nilainya</w:t>
      </w:r>
      <w:proofErr w:type="spellEnd"/>
      <w:r>
        <w:rPr>
          <w:rFonts w:ascii="Calibri" w:hAnsi="Calibri" w:cs="Calibri"/>
          <w:sz w:val="24"/>
          <w:szCs w:val="24"/>
        </w:rPr>
        <w:t xml:space="preserve"> </w:t>
      </w:r>
      <w:proofErr w:type="spellStart"/>
      <w:r>
        <w:rPr>
          <w:rFonts w:ascii="Calibri" w:hAnsi="Calibri" w:cs="Calibri"/>
          <w:sz w:val="24"/>
          <w:szCs w:val="24"/>
        </w:rPr>
        <w:t>mencapai</w:t>
      </w:r>
      <w:proofErr w:type="spellEnd"/>
      <w:r>
        <w:rPr>
          <w:rFonts w:ascii="Calibri" w:hAnsi="Calibri" w:cs="Calibri"/>
          <w:sz w:val="24"/>
          <w:szCs w:val="24"/>
        </w:rPr>
        <w:t xml:space="preserve"> US$654,5 </w:t>
      </w:r>
      <w:proofErr w:type="spellStart"/>
      <w:r>
        <w:rPr>
          <w:rFonts w:ascii="Calibri" w:hAnsi="Calibri" w:cs="Calibri"/>
          <w:sz w:val="24"/>
          <w:szCs w:val="24"/>
        </w:rPr>
        <w:t>miliar</w:t>
      </w:r>
      <w:proofErr w:type="spellEnd"/>
      <w:r>
        <w:rPr>
          <w:rFonts w:ascii="Calibri" w:hAnsi="Calibri" w:cs="Calibri"/>
          <w:sz w:val="24"/>
          <w:szCs w:val="24"/>
        </w:rPr>
        <w:t>.</w:t>
      </w:r>
    </w:p>
    <w:p w14:paraId="254927CA" w14:textId="77777777" w:rsidR="000E74CF" w:rsidRDefault="000E74CF" w:rsidP="000E74CF">
      <w:pPr>
        <w:spacing w:before="240" w:after="240" w:line="240" w:lineRule="auto"/>
        <w:jc w:val="both"/>
        <w:rPr>
          <w:rFonts w:ascii="Calibri" w:hAnsi="Calibri" w:cs="Calibri"/>
          <w:sz w:val="24"/>
          <w:szCs w:val="24"/>
        </w:rPr>
      </w:pPr>
      <w:proofErr w:type="spellStart"/>
      <w:r>
        <w:rPr>
          <w:rFonts w:ascii="Calibri" w:hAnsi="Calibri" w:cs="Calibri"/>
          <w:sz w:val="24"/>
          <w:szCs w:val="24"/>
        </w:rPr>
        <w:t>Christiantoko</w:t>
      </w:r>
      <w:proofErr w:type="spellEnd"/>
      <w:r>
        <w:rPr>
          <w:rFonts w:ascii="Calibri" w:hAnsi="Calibri" w:cs="Calibri"/>
          <w:sz w:val="24"/>
          <w:szCs w:val="24"/>
        </w:rPr>
        <w:t xml:space="preserve">, </w:t>
      </w:r>
      <w:proofErr w:type="spellStart"/>
      <w:r>
        <w:rPr>
          <w:rFonts w:ascii="Calibri" w:hAnsi="Calibri" w:cs="Calibri"/>
          <w:sz w:val="24"/>
          <w:szCs w:val="24"/>
        </w:rPr>
        <w:t>Direktur</w:t>
      </w:r>
      <w:proofErr w:type="spellEnd"/>
      <w:r>
        <w:rPr>
          <w:rFonts w:ascii="Calibri" w:hAnsi="Calibri" w:cs="Calibri"/>
          <w:sz w:val="24"/>
          <w:szCs w:val="24"/>
        </w:rPr>
        <w:t xml:space="preserve"> </w:t>
      </w:r>
      <w:proofErr w:type="spellStart"/>
      <w:r>
        <w:rPr>
          <w:rFonts w:ascii="Calibri" w:hAnsi="Calibri" w:cs="Calibri"/>
          <w:sz w:val="24"/>
          <w:szCs w:val="24"/>
        </w:rPr>
        <w:t>Eksekutif</w:t>
      </w:r>
      <w:proofErr w:type="spellEnd"/>
      <w:r>
        <w:rPr>
          <w:rFonts w:ascii="Calibri" w:hAnsi="Calibri" w:cs="Calibri"/>
          <w:sz w:val="24"/>
          <w:szCs w:val="24"/>
        </w:rPr>
        <w:t xml:space="preserve"> NEXT Indonesia Center, </w:t>
      </w:r>
      <w:proofErr w:type="spellStart"/>
      <w:r>
        <w:rPr>
          <w:rFonts w:ascii="Calibri" w:hAnsi="Calibri" w:cs="Calibri"/>
          <w:sz w:val="24"/>
          <w:szCs w:val="24"/>
        </w:rPr>
        <w:t>menjelaskan</w:t>
      </w:r>
      <w:proofErr w:type="spellEnd"/>
      <w:r>
        <w:rPr>
          <w:rFonts w:ascii="Calibri" w:hAnsi="Calibri" w:cs="Calibri"/>
          <w:sz w:val="24"/>
          <w:szCs w:val="24"/>
        </w:rPr>
        <w:t xml:space="preserve"> </w:t>
      </w:r>
      <w:proofErr w:type="spellStart"/>
      <w:r>
        <w:rPr>
          <w:rFonts w:ascii="Calibri" w:hAnsi="Calibri" w:cs="Calibri"/>
          <w:sz w:val="24"/>
          <w:szCs w:val="24"/>
        </w:rPr>
        <w:t>bahwa</w:t>
      </w:r>
      <w:proofErr w:type="spellEnd"/>
      <w:r>
        <w:rPr>
          <w:rFonts w:ascii="Calibri" w:hAnsi="Calibri" w:cs="Calibri"/>
          <w:sz w:val="24"/>
          <w:szCs w:val="24"/>
        </w:rPr>
        <w:t xml:space="preserve"> </w:t>
      </w:r>
      <w:proofErr w:type="spellStart"/>
      <w:r>
        <w:rPr>
          <w:rFonts w:ascii="Calibri" w:hAnsi="Calibri" w:cs="Calibri"/>
          <w:sz w:val="24"/>
          <w:szCs w:val="24"/>
        </w:rPr>
        <w:t>Kecurangan</w:t>
      </w:r>
      <w:proofErr w:type="spellEnd"/>
      <w:r>
        <w:rPr>
          <w:rFonts w:ascii="Calibri" w:hAnsi="Calibri" w:cs="Calibri"/>
          <w:sz w:val="24"/>
          <w:szCs w:val="24"/>
        </w:rPr>
        <w:t xml:space="preserve"> </w:t>
      </w:r>
      <w:proofErr w:type="spellStart"/>
      <w:r>
        <w:rPr>
          <w:rFonts w:ascii="Calibri" w:hAnsi="Calibri" w:cs="Calibri"/>
          <w:sz w:val="24"/>
          <w:szCs w:val="24"/>
        </w:rPr>
        <w:t>dalam</w:t>
      </w:r>
      <w:proofErr w:type="spellEnd"/>
      <w:r>
        <w:rPr>
          <w:rFonts w:ascii="Calibri" w:hAnsi="Calibri" w:cs="Calibri"/>
          <w:sz w:val="24"/>
          <w:szCs w:val="24"/>
        </w:rPr>
        <w:t xml:space="preserve"> </w:t>
      </w:r>
      <w:proofErr w:type="spellStart"/>
      <w:r>
        <w:rPr>
          <w:rFonts w:ascii="Calibri" w:hAnsi="Calibri" w:cs="Calibri"/>
          <w:sz w:val="24"/>
          <w:szCs w:val="24"/>
        </w:rPr>
        <w:t>pencatatan</w:t>
      </w:r>
      <w:proofErr w:type="spellEnd"/>
      <w:r>
        <w:rPr>
          <w:rFonts w:ascii="Calibri" w:hAnsi="Calibri" w:cs="Calibri"/>
          <w:sz w:val="24"/>
          <w:szCs w:val="24"/>
        </w:rPr>
        <w:t xml:space="preserve"> </w:t>
      </w:r>
      <w:proofErr w:type="spellStart"/>
      <w:r>
        <w:rPr>
          <w:rFonts w:ascii="Calibri" w:hAnsi="Calibri" w:cs="Calibri"/>
          <w:sz w:val="24"/>
          <w:szCs w:val="24"/>
        </w:rPr>
        <w:t>ekspor</w:t>
      </w:r>
      <w:proofErr w:type="spellEnd"/>
      <w:r>
        <w:rPr>
          <w:rFonts w:ascii="Calibri" w:hAnsi="Calibri" w:cs="Calibri"/>
          <w:sz w:val="24"/>
          <w:szCs w:val="24"/>
        </w:rPr>
        <w:t xml:space="preserve"> </w:t>
      </w:r>
      <w:proofErr w:type="spellStart"/>
      <w:r>
        <w:rPr>
          <w:rFonts w:ascii="Calibri" w:hAnsi="Calibri" w:cs="Calibri"/>
          <w:sz w:val="24"/>
          <w:szCs w:val="24"/>
        </w:rPr>
        <w:t>tersebut</w:t>
      </w:r>
      <w:proofErr w:type="spellEnd"/>
      <w:r>
        <w:rPr>
          <w:rFonts w:ascii="Calibri" w:hAnsi="Calibri" w:cs="Calibri"/>
          <w:sz w:val="24"/>
          <w:szCs w:val="24"/>
        </w:rPr>
        <w:t xml:space="preserve"> </w:t>
      </w:r>
      <w:proofErr w:type="spellStart"/>
      <w:r>
        <w:rPr>
          <w:rFonts w:ascii="Calibri" w:hAnsi="Calibri" w:cs="Calibri"/>
          <w:sz w:val="24"/>
          <w:szCs w:val="24"/>
        </w:rPr>
        <w:t>terjadi</w:t>
      </w:r>
      <w:proofErr w:type="spellEnd"/>
      <w:r>
        <w:rPr>
          <w:rFonts w:ascii="Calibri" w:hAnsi="Calibri" w:cs="Calibri"/>
          <w:sz w:val="24"/>
          <w:szCs w:val="24"/>
        </w:rPr>
        <w:t xml:space="preserve"> </w:t>
      </w:r>
      <w:proofErr w:type="spellStart"/>
      <w:r>
        <w:rPr>
          <w:rFonts w:ascii="Calibri" w:hAnsi="Calibri" w:cs="Calibri"/>
          <w:sz w:val="24"/>
          <w:szCs w:val="24"/>
        </w:rPr>
        <w:t>melalui</w:t>
      </w:r>
      <w:proofErr w:type="spellEnd"/>
      <w:r>
        <w:rPr>
          <w:rFonts w:ascii="Calibri" w:hAnsi="Calibri" w:cs="Calibri"/>
          <w:sz w:val="24"/>
          <w:szCs w:val="24"/>
        </w:rPr>
        <w:t xml:space="preserve"> </w:t>
      </w:r>
      <w:proofErr w:type="spellStart"/>
      <w:r>
        <w:rPr>
          <w:rFonts w:ascii="Calibri" w:hAnsi="Calibri" w:cs="Calibri"/>
          <w:sz w:val="24"/>
          <w:szCs w:val="24"/>
        </w:rPr>
        <w:t>dua</w:t>
      </w:r>
      <w:proofErr w:type="spellEnd"/>
      <w:r>
        <w:rPr>
          <w:rFonts w:ascii="Calibri" w:hAnsi="Calibri" w:cs="Calibri"/>
          <w:sz w:val="24"/>
          <w:szCs w:val="24"/>
        </w:rPr>
        <w:t xml:space="preserve"> </w:t>
      </w:r>
      <w:proofErr w:type="spellStart"/>
      <w:r>
        <w:rPr>
          <w:rFonts w:ascii="Calibri" w:hAnsi="Calibri" w:cs="Calibri"/>
          <w:sz w:val="24"/>
          <w:szCs w:val="24"/>
        </w:rPr>
        <w:t>jenis</w:t>
      </w:r>
      <w:proofErr w:type="spellEnd"/>
      <w:r>
        <w:rPr>
          <w:rFonts w:ascii="Calibri" w:hAnsi="Calibri" w:cs="Calibri"/>
          <w:sz w:val="24"/>
          <w:szCs w:val="24"/>
        </w:rPr>
        <w:t xml:space="preserve">. </w:t>
      </w:r>
      <w:proofErr w:type="spellStart"/>
      <w:r>
        <w:rPr>
          <w:rFonts w:ascii="Calibri" w:hAnsi="Calibri" w:cs="Calibri"/>
          <w:sz w:val="24"/>
          <w:szCs w:val="24"/>
        </w:rPr>
        <w:t>Pertama</w:t>
      </w:r>
      <w:proofErr w:type="spellEnd"/>
      <w:r>
        <w:rPr>
          <w:rFonts w:ascii="Calibri" w:hAnsi="Calibri" w:cs="Calibri"/>
          <w:sz w:val="24"/>
          <w:szCs w:val="24"/>
        </w:rPr>
        <w:t xml:space="preserve">, </w:t>
      </w:r>
      <w:r w:rsidRPr="00113C68">
        <w:rPr>
          <w:rFonts w:ascii="Calibri" w:hAnsi="Calibri" w:cs="Calibri"/>
          <w:i/>
          <w:iCs/>
          <w:sz w:val="24"/>
          <w:szCs w:val="24"/>
        </w:rPr>
        <w:t>under invoicing</w:t>
      </w:r>
      <w:r>
        <w:rPr>
          <w:rFonts w:ascii="Calibri" w:hAnsi="Calibri" w:cs="Calibri"/>
          <w:sz w:val="24"/>
          <w:szCs w:val="24"/>
        </w:rPr>
        <w:t xml:space="preserve">. Pada </w:t>
      </w:r>
      <w:proofErr w:type="spellStart"/>
      <w:r>
        <w:rPr>
          <w:rFonts w:ascii="Calibri" w:hAnsi="Calibri" w:cs="Calibri"/>
          <w:sz w:val="24"/>
          <w:szCs w:val="24"/>
        </w:rPr>
        <w:t>kasus</w:t>
      </w:r>
      <w:proofErr w:type="spellEnd"/>
      <w:r>
        <w:rPr>
          <w:rFonts w:ascii="Calibri" w:hAnsi="Calibri" w:cs="Calibri"/>
          <w:sz w:val="24"/>
          <w:szCs w:val="24"/>
        </w:rPr>
        <w:t xml:space="preserve"> </w:t>
      </w:r>
      <w:proofErr w:type="spellStart"/>
      <w:r>
        <w:rPr>
          <w:rFonts w:ascii="Calibri" w:hAnsi="Calibri" w:cs="Calibri"/>
          <w:sz w:val="24"/>
          <w:szCs w:val="24"/>
        </w:rPr>
        <w:t>ini</w:t>
      </w:r>
      <w:proofErr w:type="spellEnd"/>
      <w:r>
        <w:rPr>
          <w:rFonts w:ascii="Calibri" w:hAnsi="Calibri" w:cs="Calibri"/>
          <w:sz w:val="24"/>
          <w:szCs w:val="24"/>
        </w:rPr>
        <w:t xml:space="preserve">, volume </w:t>
      </w:r>
      <w:proofErr w:type="spellStart"/>
      <w:r>
        <w:rPr>
          <w:rFonts w:ascii="Calibri" w:hAnsi="Calibri" w:cs="Calibri"/>
          <w:sz w:val="24"/>
          <w:szCs w:val="24"/>
        </w:rPr>
        <w:t>atau</w:t>
      </w:r>
      <w:proofErr w:type="spellEnd"/>
      <w:r>
        <w:rPr>
          <w:rFonts w:ascii="Calibri" w:hAnsi="Calibri" w:cs="Calibri"/>
          <w:sz w:val="24"/>
          <w:szCs w:val="24"/>
        </w:rPr>
        <w:t xml:space="preserve"> </w:t>
      </w:r>
      <w:proofErr w:type="spellStart"/>
      <w:r>
        <w:rPr>
          <w:rFonts w:ascii="Calibri" w:hAnsi="Calibri" w:cs="Calibri"/>
          <w:sz w:val="24"/>
          <w:szCs w:val="24"/>
        </w:rPr>
        <w:t>nilai</w:t>
      </w:r>
      <w:proofErr w:type="spellEnd"/>
      <w:r>
        <w:rPr>
          <w:rFonts w:ascii="Calibri" w:hAnsi="Calibri" w:cs="Calibri"/>
          <w:sz w:val="24"/>
          <w:szCs w:val="24"/>
        </w:rPr>
        <w:t xml:space="preserve"> </w:t>
      </w:r>
      <w:proofErr w:type="spellStart"/>
      <w:r>
        <w:rPr>
          <w:rFonts w:ascii="Calibri" w:hAnsi="Calibri" w:cs="Calibri"/>
          <w:sz w:val="24"/>
          <w:szCs w:val="24"/>
        </w:rPr>
        <w:t>ekspor</w:t>
      </w:r>
      <w:proofErr w:type="spellEnd"/>
      <w:r>
        <w:rPr>
          <w:rFonts w:ascii="Calibri" w:hAnsi="Calibri" w:cs="Calibri"/>
          <w:sz w:val="24"/>
          <w:szCs w:val="24"/>
        </w:rPr>
        <w:t xml:space="preserve"> yang </w:t>
      </w:r>
      <w:proofErr w:type="spellStart"/>
      <w:r>
        <w:rPr>
          <w:rFonts w:ascii="Calibri" w:hAnsi="Calibri" w:cs="Calibri"/>
          <w:sz w:val="24"/>
          <w:szCs w:val="24"/>
        </w:rPr>
        <w:t>dicatat</w:t>
      </w:r>
      <w:proofErr w:type="spellEnd"/>
      <w:r>
        <w:rPr>
          <w:rFonts w:ascii="Calibri" w:hAnsi="Calibri" w:cs="Calibri"/>
          <w:sz w:val="24"/>
          <w:szCs w:val="24"/>
        </w:rPr>
        <w:t xml:space="preserve"> di Indonesia </w:t>
      </w:r>
      <w:proofErr w:type="spellStart"/>
      <w:r>
        <w:rPr>
          <w:rFonts w:ascii="Calibri" w:hAnsi="Calibri" w:cs="Calibri"/>
          <w:sz w:val="24"/>
          <w:szCs w:val="24"/>
        </w:rPr>
        <w:t>lebih</w:t>
      </w:r>
      <w:proofErr w:type="spellEnd"/>
      <w:r>
        <w:rPr>
          <w:rFonts w:ascii="Calibri" w:hAnsi="Calibri" w:cs="Calibri"/>
          <w:sz w:val="24"/>
          <w:szCs w:val="24"/>
        </w:rPr>
        <w:t xml:space="preserve"> </w:t>
      </w:r>
      <w:proofErr w:type="spellStart"/>
      <w:r>
        <w:rPr>
          <w:rFonts w:ascii="Calibri" w:hAnsi="Calibri" w:cs="Calibri"/>
          <w:sz w:val="24"/>
          <w:szCs w:val="24"/>
        </w:rPr>
        <w:t>rendah</w:t>
      </w:r>
      <w:proofErr w:type="spellEnd"/>
      <w:r>
        <w:rPr>
          <w:rFonts w:ascii="Calibri" w:hAnsi="Calibri" w:cs="Calibri"/>
          <w:sz w:val="24"/>
          <w:szCs w:val="24"/>
        </w:rPr>
        <w:t xml:space="preserve"> </w:t>
      </w:r>
      <w:proofErr w:type="spellStart"/>
      <w:r>
        <w:rPr>
          <w:rFonts w:ascii="Calibri" w:hAnsi="Calibri" w:cs="Calibri"/>
          <w:sz w:val="24"/>
          <w:szCs w:val="24"/>
        </w:rPr>
        <w:t>dari</w:t>
      </w:r>
      <w:proofErr w:type="spellEnd"/>
      <w:r>
        <w:rPr>
          <w:rFonts w:ascii="Calibri" w:hAnsi="Calibri" w:cs="Calibri"/>
          <w:sz w:val="24"/>
          <w:szCs w:val="24"/>
        </w:rPr>
        <w:t xml:space="preserve"> yang </w:t>
      </w:r>
      <w:proofErr w:type="spellStart"/>
      <w:r>
        <w:rPr>
          <w:rFonts w:ascii="Calibri" w:hAnsi="Calibri" w:cs="Calibri"/>
          <w:sz w:val="24"/>
          <w:szCs w:val="24"/>
        </w:rPr>
        <w:t>dibukukan</w:t>
      </w:r>
      <w:proofErr w:type="spellEnd"/>
      <w:r>
        <w:rPr>
          <w:rFonts w:ascii="Calibri" w:hAnsi="Calibri" w:cs="Calibri"/>
          <w:sz w:val="24"/>
          <w:szCs w:val="24"/>
        </w:rPr>
        <w:t xml:space="preserve"> oleh negara </w:t>
      </w:r>
      <w:proofErr w:type="spellStart"/>
      <w:r>
        <w:rPr>
          <w:rFonts w:ascii="Calibri" w:hAnsi="Calibri" w:cs="Calibri"/>
          <w:sz w:val="24"/>
          <w:szCs w:val="24"/>
        </w:rPr>
        <w:t>mitra</w:t>
      </w:r>
      <w:proofErr w:type="spellEnd"/>
      <w:r>
        <w:rPr>
          <w:rFonts w:ascii="Calibri" w:hAnsi="Calibri" w:cs="Calibri"/>
          <w:sz w:val="24"/>
          <w:szCs w:val="24"/>
        </w:rPr>
        <w:t xml:space="preserve"> </w:t>
      </w:r>
      <w:proofErr w:type="spellStart"/>
      <w:r>
        <w:rPr>
          <w:rFonts w:ascii="Calibri" w:hAnsi="Calibri" w:cs="Calibri"/>
          <w:sz w:val="24"/>
          <w:szCs w:val="24"/>
        </w:rPr>
        <w:t>dagang</w:t>
      </w:r>
      <w:proofErr w:type="spellEnd"/>
      <w:r>
        <w:rPr>
          <w:rFonts w:ascii="Calibri" w:hAnsi="Calibri" w:cs="Calibri"/>
          <w:sz w:val="24"/>
          <w:szCs w:val="24"/>
        </w:rPr>
        <w:t xml:space="preserve">. </w:t>
      </w:r>
      <w:proofErr w:type="spellStart"/>
      <w:r>
        <w:rPr>
          <w:rFonts w:ascii="Calibri" w:hAnsi="Calibri" w:cs="Calibri"/>
          <w:sz w:val="24"/>
          <w:szCs w:val="24"/>
        </w:rPr>
        <w:t>Sepanjang</w:t>
      </w:r>
      <w:proofErr w:type="spellEnd"/>
      <w:r>
        <w:rPr>
          <w:rFonts w:ascii="Calibri" w:hAnsi="Calibri" w:cs="Calibri"/>
          <w:sz w:val="24"/>
          <w:szCs w:val="24"/>
        </w:rPr>
        <w:t xml:space="preserve"> </w:t>
      </w:r>
      <w:proofErr w:type="spellStart"/>
      <w:r>
        <w:rPr>
          <w:rFonts w:ascii="Calibri" w:hAnsi="Calibri" w:cs="Calibri"/>
          <w:sz w:val="24"/>
          <w:szCs w:val="24"/>
        </w:rPr>
        <w:t>satu</w:t>
      </w:r>
      <w:proofErr w:type="spellEnd"/>
      <w:r>
        <w:rPr>
          <w:rFonts w:ascii="Calibri" w:hAnsi="Calibri" w:cs="Calibri"/>
          <w:sz w:val="24"/>
          <w:szCs w:val="24"/>
        </w:rPr>
        <w:t xml:space="preserve"> </w:t>
      </w:r>
      <w:proofErr w:type="spellStart"/>
      <w:r>
        <w:rPr>
          <w:rFonts w:ascii="Calibri" w:hAnsi="Calibri" w:cs="Calibri"/>
          <w:sz w:val="24"/>
          <w:szCs w:val="24"/>
        </w:rPr>
        <w:t>dekade</w:t>
      </w:r>
      <w:proofErr w:type="spellEnd"/>
      <w:r>
        <w:rPr>
          <w:rFonts w:ascii="Calibri" w:hAnsi="Calibri" w:cs="Calibri"/>
          <w:sz w:val="24"/>
          <w:szCs w:val="24"/>
        </w:rPr>
        <w:t xml:space="preserve"> </w:t>
      </w:r>
      <w:proofErr w:type="spellStart"/>
      <w:r>
        <w:rPr>
          <w:rFonts w:ascii="Calibri" w:hAnsi="Calibri" w:cs="Calibri"/>
          <w:sz w:val="24"/>
          <w:szCs w:val="24"/>
        </w:rPr>
        <w:t>tersebut</w:t>
      </w:r>
      <w:proofErr w:type="spellEnd"/>
      <w:r>
        <w:rPr>
          <w:rFonts w:ascii="Calibri" w:hAnsi="Calibri" w:cs="Calibri"/>
          <w:sz w:val="24"/>
          <w:szCs w:val="24"/>
        </w:rPr>
        <w:t xml:space="preserve">, </w:t>
      </w:r>
      <w:proofErr w:type="spellStart"/>
      <w:r>
        <w:rPr>
          <w:rFonts w:ascii="Calibri" w:hAnsi="Calibri" w:cs="Calibri"/>
          <w:sz w:val="24"/>
          <w:szCs w:val="24"/>
        </w:rPr>
        <w:t>selisih</w:t>
      </w:r>
      <w:proofErr w:type="spellEnd"/>
      <w:r>
        <w:rPr>
          <w:rFonts w:ascii="Calibri" w:hAnsi="Calibri" w:cs="Calibri"/>
          <w:sz w:val="24"/>
          <w:szCs w:val="24"/>
        </w:rPr>
        <w:t xml:space="preserve"> </w:t>
      </w:r>
      <w:proofErr w:type="spellStart"/>
      <w:proofErr w:type="gramStart"/>
      <w:r>
        <w:rPr>
          <w:rFonts w:ascii="Calibri" w:hAnsi="Calibri" w:cs="Calibri"/>
          <w:sz w:val="24"/>
          <w:szCs w:val="24"/>
        </w:rPr>
        <w:t>pencatatannya</w:t>
      </w:r>
      <w:proofErr w:type="spellEnd"/>
      <w:r>
        <w:rPr>
          <w:rFonts w:ascii="Calibri" w:hAnsi="Calibri" w:cs="Calibri"/>
          <w:sz w:val="24"/>
          <w:szCs w:val="24"/>
        </w:rPr>
        <w:t xml:space="preserve">  </w:t>
      </w:r>
      <w:proofErr w:type="spellStart"/>
      <w:r>
        <w:rPr>
          <w:rFonts w:ascii="Calibri" w:hAnsi="Calibri" w:cs="Calibri"/>
          <w:sz w:val="24"/>
          <w:szCs w:val="24"/>
        </w:rPr>
        <w:t>senilai</w:t>
      </w:r>
      <w:proofErr w:type="spellEnd"/>
      <w:proofErr w:type="gramEnd"/>
      <w:r>
        <w:rPr>
          <w:rFonts w:ascii="Calibri" w:hAnsi="Calibri" w:cs="Calibri"/>
          <w:sz w:val="24"/>
          <w:szCs w:val="24"/>
        </w:rPr>
        <w:t xml:space="preserve"> US$401,6 </w:t>
      </w:r>
      <w:proofErr w:type="spellStart"/>
      <w:r>
        <w:rPr>
          <w:rFonts w:ascii="Calibri" w:hAnsi="Calibri" w:cs="Calibri"/>
          <w:sz w:val="24"/>
          <w:szCs w:val="24"/>
        </w:rPr>
        <w:t>miliar</w:t>
      </w:r>
      <w:proofErr w:type="spellEnd"/>
      <w:r>
        <w:rPr>
          <w:rFonts w:ascii="Calibri" w:hAnsi="Calibri" w:cs="Calibri"/>
          <w:sz w:val="24"/>
          <w:szCs w:val="24"/>
        </w:rPr>
        <w:t xml:space="preserve"> </w:t>
      </w:r>
      <w:proofErr w:type="spellStart"/>
      <w:r>
        <w:rPr>
          <w:rFonts w:ascii="Calibri" w:hAnsi="Calibri" w:cs="Calibri"/>
          <w:sz w:val="24"/>
          <w:szCs w:val="24"/>
        </w:rPr>
        <w:t>atau</w:t>
      </w:r>
      <w:proofErr w:type="spellEnd"/>
      <w:r>
        <w:rPr>
          <w:rFonts w:ascii="Calibri" w:hAnsi="Calibri" w:cs="Calibri"/>
          <w:sz w:val="24"/>
          <w:szCs w:val="24"/>
        </w:rPr>
        <w:t xml:space="preserve"> rata-rata </w:t>
      </w:r>
      <w:proofErr w:type="spellStart"/>
      <w:r>
        <w:rPr>
          <w:rFonts w:ascii="Calibri" w:hAnsi="Calibri" w:cs="Calibri"/>
          <w:sz w:val="24"/>
          <w:szCs w:val="24"/>
        </w:rPr>
        <w:t>sekitar</w:t>
      </w:r>
      <w:proofErr w:type="spellEnd"/>
      <w:r>
        <w:rPr>
          <w:rFonts w:ascii="Calibri" w:hAnsi="Calibri" w:cs="Calibri"/>
          <w:sz w:val="24"/>
          <w:szCs w:val="24"/>
        </w:rPr>
        <w:t xml:space="preserve"> US$40,2 </w:t>
      </w:r>
      <w:proofErr w:type="spellStart"/>
      <w:r>
        <w:rPr>
          <w:rFonts w:ascii="Calibri" w:hAnsi="Calibri" w:cs="Calibri"/>
          <w:sz w:val="24"/>
          <w:szCs w:val="24"/>
        </w:rPr>
        <w:t>miliar</w:t>
      </w:r>
      <w:proofErr w:type="spellEnd"/>
      <w:r>
        <w:rPr>
          <w:rFonts w:ascii="Calibri" w:hAnsi="Calibri" w:cs="Calibri"/>
          <w:sz w:val="24"/>
          <w:szCs w:val="24"/>
        </w:rPr>
        <w:t xml:space="preserve"> per </w:t>
      </w:r>
      <w:proofErr w:type="spellStart"/>
      <w:r>
        <w:rPr>
          <w:rFonts w:ascii="Calibri" w:hAnsi="Calibri" w:cs="Calibri"/>
          <w:sz w:val="24"/>
          <w:szCs w:val="24"/>
        </w:rPr>
        <w:t>tahun</w:t>
      </w:r>
      <w:proofErr w:type="spellEnd"/>
      <w:r>
        <w:rPr>
          <w:rFonts w:ascii="Calibri" w:hAnsi="Calibri" w:cs="Calibri"/>
          <w:sz w:val="24"/>
          <w:szCs w:val="24"/>
        </w:rPr>
        <w:t xml:space="preserve">. </w:t>
      </w:r>
    </w:p>
    <w:p w14:paraId="02884701" w14:textId="77777777" w:rsidR="000E74CF" w:rsidRDefault="000E74CF" w:rsidP="000E74CF">
      <w:pPr>
        <w:spacing w:before="240" w:after="240" w:line="240" w:lineRule="auto"/>
        <w:jc w:val="both"/>
        <w:rPr>
          <w:rFonts w:ascii="Calibri" w:hAnsi="Calibri" w:cs="Calibri"/>
          <w:sz w:val="24"/>
          <w:szCs w:val="24"/>
        </w:rPr>
      </w:pPr>
      <w:proofErr w:type="spellStart"/>
      <w:r>
        <w:rPr>
          <w:rFonts w:ascii="Calibri" w:hAnsi="Calibri" w:cs="Calibri"/>
          <w:sz w:val="24"/>
          <w:szCs w:val="24"/>
        </w:rPr>
        <w:t>Kedua</w:t>
      </w:r>
      <w:proofErr w:type="spellEnd"/>
      <w:r>
        <w:rPr>
          <w:rFonts w:ascii="Calibri" w:hAnsi="Calibri" w:cs="Calibri"/>
          <w:sz w:val="24"/>
          <w:szCs w:val="24"/>
        </w:rPr>
        <w:t xml:space="preserve">, </w:t>
      </w:r>
      <w:r>
        <w:rPr>
          <w:rFonts w:ascii="Calibri" w:hAnsi="Calibri" w:cs="Calibri"/>
          <w:i/>
          <w:iCs/>
          <w:sz w:val="24"/>
          <w:szCs w:val="24"/>
        </w:rPr>
        <w:t>over</w:t>
      </w:r>
      <w:r w:rsidRPr="00113C68">
        <w:rPr>
          <w:rFonts w:ascii="Calibri" w:hAnsi="Calibri" w:cs="Calibri"/>
          <w:i/>
          <w:iCs/>
          <w:sz w:val="24"/>
          <w:szCs w:val="24"/>
        </w:rPr>
        <w:t xml:space="preserve"> invoicing</w:t>
      </w:r>
      <w:r>
        <w:rPr>
          <w:rFonts w:ascii="Calibri" w:hAnsi="Calibri" w:cs="Calibri"/>
          <w:sz w:val="24"/>
          <w:szCs w:val="24"/>
        </w:rPr>
        <w:t xml:space="preserve"> </w:t>
      </w:r>
      <w:proofErr w:type="spellStart"/>
      <w:r>
        <w:rPr>
          <w:rFonts w:ascii="Calibri" w:hAnsi="Calibri" w:cs="Calibri"/>
          <w:sz w:val="24"/>
          <w:szCs w:val="24"/>
        </w:rPr>
        <w:t>yakni</w:t>
      </w:r>
      <w:proofErr w:type="spellEnd"/>
      <w:r>
        <w:rPr>
          <w:rFonts w:ascii="Calibri" w:hAnsi="Calibri" w:cs="Calibri"/>
          <w:sz w:val="24"/>
          <w:szCs w:val="24"/>
        </w:rPr>
        <w:t xml:space="preserve"> </w:t>
      </w:r>
      <w:proofErr w:type="spellStart"/>
      <w:r>
        <w:rPr>
          <w:rFonts w:ascii="Calibri" w:hAnsi="Calibri" w:cs="Calibri"/>
          <w:sz w:val="24"/>
          <w:szCs w:val="24"/>
        </w:rPr>
        <w:t>catatan</w:t>
      </w:r>
      <w:proofErr w:type="spellEnd"/>
      <w:r>
        <w:rPr>
          <w:rFonts w:ascii="Calibri" w:hAnsi="Calibri" w:cs="Calibri"/>
          <w:sz w:val="24"/>
          <w:szCs w:val="24"/>
        </w:rPr>
        <w:t xml:space="preserve"> di Indonesia </w:t>
      </w:r>
      <w:proofErr w:type="spellStart"/>
      <w:r>
        <w:rPr>
          <w:rFonts w:ascii="Calibri" w:hAnsi="Calibri" w:cs="Calibri"/>
          <w:sz w:val="24"/>
          <w:szCs w:val="24"/>
        </w:rPr>
        <w:t>lebih</w:t>
      </w:r>
      <w:proofErr w:type="spellEnd"/>
      <w:r>
        <w:rPr>
          <w:rFonts w:ascii="Calibri" w:hAnsi="Calibri" w:cs="Calibri"/>
          <w:sz w:val="24"/>
          <w:szCs w:val="24"/>
        </w:rPr>
        <w:t xml:space="preserve"> </w:t>
      </w:r>
      <w:proofErr w:type="spellStart"/>
      <w:r>
        <w:rPr>
          <w:rFonts w:ascii="Calibri" w:hAnsi="Calibri" w:cs="Calibri"/>
          <w:sz w:val="24"/>
          <w:szCs w:val="24"/>
        </w:rPr>
        <w:t>besar</w:t>
      </w:r>
      <w:proofErr w:type="spellEnd"/>
      <w:r>
        <w:rPr>
          <w:rFonts w:ascii="Calibri" w:hAnsi="Calibri" w:cs="Calibri"/>
          <w:sz w:val="24"/>
          <w:szCs w:val="24"/>
        </w:rPr>
        <w:t xml:space="preserve"> </w:t>
      </w:r>
      <w:proofErr w:type="spellStart"/>
      <w:r>
        <w:rPr>
          <w:rFonts w:ascii="Calibri" w:hAnsi="Calibri" w:cs="Calibri"/>
          <w:sz w:val="24"/>
          <w:szCs w:val="24"/>
        </w:rPr>
        <w:t>ketimbang</w:t>
      </w:r>
      <w:proofErr w:type="spellEnd"/>
      <w:r>
        <w:rPr>
          <w:rFonts w:ascii="Calibri" w:hAnsi="Calibri" w:cs="Calibri"/>
          <w:sz w:val="24"/>
          <w:szCs w:val="24"/>
        </w:rPr>
        <w:t xml:space="preserve"> </w:t>
      </w:r>
      <w:proofErr w:type="spellStart"/>
      <w:r>
        <w:rPr>
          <w:rFonts w:ascii="Calibri" w:hAnsi="Calibri" w:cs="Calibri"/>
          <w:sz w:val="24"/>
          <w:szCs w:val="24"/>
        </w:rPr>
        <w:t>catatan</w:t>
      </w:r>
      <w:proofErr w:type="spellEnd"/>
      <w:r>
        <w:rPr>
          <w:rFonts w:ascii="Calibri" w:hAnsi="Calibri" w:cs="Calibri"/>
          <w:sz w:val="24"/>
          <w:szCs w:val="24"/>
        </w:rPr>
        <w:t xml:space="preserve"> negara </w:t>
      </w:r>
      <w:proofErr w:type="spellStart"/>
      <w:r>
        <w:rPr>
          <w:rFonts w:ascii="Calibri" w:hAnsi="Calibri" w:cs="Calibri"/>
          <w:sz w:val="24"/>
          <w:szCs w:val="24"/>
        </w:rPr>
        <w:t>mitra</w:t>
      </w:r>
      <w:proofErr w:type="spellEnd"/>
      <w:r>
        <w:rPr>
          <w:rFonts w:ascii="Calibri" w:hAnsi="Calibri" w:cs="Calibri"/>
          <w:sz w:val="24"/>
          <w:szCs w:val="24"/>
        </w:rPr>
        <w:t xml:space="preserve">. Pada </w:t>
      </w:r>
      <w:proofErr w:type="spellStart"/>
      <w:r>
        <w:rPr>
          <w:rFonts w:ascii="Calibri" w:hAnsi="Calibri" w:cs="Calibri"/>
          <w:sz w:val="24"/>
          <w:szCs w:val="24"/>
        </w:rPr>
        <w:t>satu</w:t>
      </w:r>
      <w:proofErr w:type="spellEnd"/>
      <w:r>
        <w:rPr>
          <w:rFonts w:ascii="Calibri" w:hAnsi="Calibri" w:cs="Calibri"/>
          <w:sz w:val="24"/>
          <w:szCs w:val="24"/>
        </w:rPr>
        <w:t xml:space="preserve"> </w:t>
      </w:r>
      <w:proofErr w:type="spellStart"/>
      <w:r>
        <w:rPr>
          <w:rFonts w:ascii="Calibri" w:hAnsi="Calibri" w:cs="Calibri"/>
          <w:sz w:val="24"/>
          <w:szCs w:val="24"/>
        </w:rPr>
        <w:t>dekade</w:t>
      </w:r>
      <w:proofErr w:type="spellEnd"/>
      <w:r>
        <w:rPr>
          <w:rFonts w:ascii="Calibri" w:hAnsi="Calibri" w:cs="Calibri"/>
          <w:sz w:val="24"/>
          <w:szCs w:val="24"/>
        </w:rPr>
        <w:t xml:space="preserve"> </w:t>
      </w:r>
      <w:proofErr w:type="spellStart"/>
      <w:r>
        <w:rPr>
          <w:rFonts w:ascii="Calibri" w:hAnsi="Calibri" w:cs="Calibri"/>
          <w:sz w:val="24"/>
          <w:szCs w:val="24"/>
        </w:rPr>
        <w:t>terakhir</w:t>
      </w:r>
      <w:proofErr w:type="spellEnd"/>
      <w:r>
        <w:rPr>
          <w:rFonts w:ascii="Calibri" w:hAnsi="Calibri" w:cs="Calibri"/>
          <w:sz w:val="24"/>
          <w:szCs w:val="24"/>
        </w:rPr>
        <w:t xml:space="preserve">, </w:t>
      </w:r>
      <w:proofErr w:type="spellStart"/>
      <w:r>
        <w:rPr>
          <w:rFonts w:ascii="Calibri" w:hAnsi="Calibri" w:cs="Calibri"/>
          <w:sz w:val="24"/>
          <w:szCs w:val="24"/>
        </w:rPr>
        <w:t>nilainya</w:t>
      </w:r>
      <w:proofErr w:type="spellEnd"/>
      <w:r>
        <w:rPr>
          <w:rFonts w:ascii="Calibri" w:hAnsi="Calibri" w:cs="Calibri"/>
          <w:sz w:val="24"/>
          <w:szCs w:val="24"/>
        </w:rPr>
        <w:t xml:space="preserve"> </w:t>
      </w:r>
      <w:proofErr w:type="spellStart"/>
      <w:r>
        <w:rPr>
          <w:rFonts w:ascii="Calibri" w:hAnsi="Calibri" w:cs="Calibri"/>
          <w:sz w:val="24"/>
          <w:szCs w:val="24"/>
        </w:rPr>
        <w:t>mencapai</w:t>
      </w:r>
      <w:proofErr w:type="spellEnd"/>
      <w:r>
        <w:rPr>
          <w:rFonts w:ascii="Calibri" w:hAnsi="Calibri" w:cs="Calibri"/>
          <w:sz w:val="24"/>
          <w:szCs w:val="24"/>
        </w:rPr>
        <w:t xml:space="preserve"> US$252,9 </w:t>
      </w:r>
      <w:proofErr w:type="spellStart"/>
      <w:r>
        <w:rPr>
          <w:rFonts w:ascii="Calibri" w:hAnsi="Calibri" w:cs="Calibri"/>
          <w:sz w:val="24"/>
          <w:szCs w:val="24"/>
        </w:rPr>
        <w:t>miliar</w:t>
      </w:r>
      <w:proofErr w:type="spellEnd"/>
      <w:r>
        <w:rPr>
          <w:rFonts w:ascii="Calibri" w:hAnsi="Calibri" w:cs="Calibri"/>
          <w:sz w:val="24"/>
          <w:szCs w:val="24"/>
        </w:rPr>
        <w:t xml:space="preserve"> </w:t>
      </w:r>
      <w:proofErr w:type="spellStart"/>
      <w:r>
        <w:rPr>
          <w:rFonts w:ascii="Calibri" w:hAnsi="Calibri" w:cs="Calibri"/>
          <w:sz w:val="24"/>
          <w:szCs w:val="24"/>
        </w:rPr>
        <w:t>atau</w:t>
      </w:r>
      <w:proofErr w:type="spellEnd"/>
      <w:r>
        <w:rPr>
          <w:rFonts w:ascii="Calibri" w:hAnsi="Calibri" w:cs="Calibri"/>
          <w:sz w:val="24"/>
          <w:szCs w:val="24"/>
        </w:rPr>
        <w:t xml:space="preserve"> </w:t>
      </w:r>
      <w:proofErr w:type="spellStart"/>
      <w:r>
        <w:rPr>
          <w:rFonts w:ascii="Calibri" w:hAnsi="Calibri" w:cs="Calibri"/>
          <w:sz w:val="24"/>
          <w:szCs w:val="24"/>
        </w:rPr>
        <w:t>sekitar</w:t>
      </w:r>
      <w:proofErr w:type="spellEnd"/>
      <w:r>
        <w:rPr>
          <w:rFonts w:ascii="Calibri" w:hAnsi="Calibri" w:cs="Calibri"/>
          <w:sz w:val="24"/>
          <w:szCs w:val="24"/>
        </w:rPr>
        <w:t xml:space="preserve"> US$25,3 </w:t>
      </w:r>
      <w:proofErr w:type="spellStart"/>
      <w:r>
        <w:rPr>
          <w:rFonts w:ascii="Calibri" w:hAnsi="Calibri" w:cs="Calibri"/>
          <w:sz w:val="24"/>
          <w:szCs w:val="24"/>
        </w:rPr>
        <w:t>miliar</w:t>
      </w:r>
      <w:proofErr w:type="spellEnd"/>
      <w:r>
        <w:rPr>
          <w:rFonts w:ascii="Calibri" w:hAnsi="Calibri" w:cs="Calibri"/>
          <w:sz w:val="24"/>
          <w:szCs w:val="24"/>
        </w:rPr>
        <w:t>.</w:t>
      </w:r>
    </w:p>
    <w:p w14:paraId="4118A3F1" w14:textId="78EC1361" w:rsidR="000E74CF" w:rsidRPr="005E372E" w:rsidRDefault="000E74CF" w:rsidP="000E74CF">
      <w:pPr>
        <w:spacing w:before="240" w:after="240" w:line="240" w:lineRule="auto"/>
        <w:jc w:val="both"/>
        <w:rPr>
          <w:rFonts w:ascii="Calibri" w:hAnsi="Calibri" w:cs="Calibri"/>
          <w:sz w:val="24"/>
          <w:szCs w:val="24"/>
        </w:rPr>
      </w:pPr>
      <w:r>
        <w:rPr>
          <w:rFonts w:ascii="Calibri" w:hAnsi="Calibri" w:cs="Calibri"/>
          <w:sz w:val="24"/>
          <w:szCs w:val="24"/>
        </w:rPr>
        <w:t>“</w:t>
      </w:r>
      <w:proofErr w:type="spellStart"/>
      <w:r>
        <w:rPr>
          <w:rFonts w:ascii="Calibri" w:hAnsi="Calibri" w:cs="Calibri"/>
          <w:sz w:val="24"/>
          <w:szCs w:val="24"/>
        </w:rPr>
        <w:t>Selisih</w:t>
      </w:r>
      <w:proofErr w:type="spellEnd"/>
      <w:r>
        <w:rPr>
          <w:rFonts w:ascii="Calibri" w:hAnsi="Calibri" w:cs="Calibri"/>
          <w:sz w:val="24"/>
          <w:szCs w:val="24"/>
        </w:rPr>
        <w:t xml:space="preserve"> </w:t>
      </w:r>
      <w:proofErr w:type="spellStart"/>
      <w:r>
        <w:rPr>
          <w:rFonts w:ascii="Calibri" w:hAnsi="Calibri" w:cs="Calibri"/>
          <w:sz w:val="24"/>
          <w:szCs w:val="24"/>
        </w:rPr>
        <w:t>pencatatan</w:t>
      </w:r>
      <w:proofErr w:type="spellEnd"/>
      <w:r>
        <w:rPr>
          <w:rFonts w:ascii="Calibri" w:hAnsi="Calibri" w:cs="Calibri"/>
          <w:sz w:val="24"/>
          <w:szCs w:val="24"/>
        </w:rPr>
        <w:t xml:space="preserve"> </w:t>
      </w:r>
      <w:proofErr w:type="spellStart"/>
      <w:r>
        <w:rPr>
          <w:rFonts w:ascii="Calibri" w:hAnsi="Calibri" w:cs="Calibri"/>
          <w:sz w:val="24"/>
          <w:szCs w:val="24"/>
        </w:rPr>
        <w:t>ekspor</w:t>
      </w:r>
      <w:proofErr w:type="spellEnd"/>
      <w:r>
        <w:rPr>
          <w:rFonts w:ascii="Calibri" w:hAnsi="Calibri" w:cs="Calibri"/>
          <w:sz w:val="24"/>
          <w:szCs w:val="24"/>
        </w:rPr>
        <w:t xml:space="preserve"> </w:t>
      </w:r>
      <w:proofErr w:type="spellStart"/>
      <w:r>
        <w:rPr>
          <w:rFonts w:ascii="Calibri" w:hAnsi="Calibri" w:cs="Calibri"/>
          <w:sz w:val="24"/>
          <w:szCs w:val="24"/>
        </w:rPr>
        <w:t>ini</w:t>
      </w:r>
      <w:proofErr w:type="spellEnd"/>
      <w:r>
        <w:rPr>
          <w:rFonts w:ascii="Calibri" w:hAnsi="Calibri" w:cs="Calibri"/>
          <w:sz w:val="24"/>
          <w:szCs w:val="24"/>
        </w:rPr>
        <w:t xml:space="preserve"> </w:t>
      </w:r>
      <w:proofErr w:type="spellStart"/>
      <w:r>
        <w:rPr>
          <w:rFonts w:ascii="Calibri" w:hAnsi="Calibri" w:cs="Calibri"/>
          <w:sz w:val="24"/>
          <w:szCs w:val="24"/>
        </w:rPr>
        <w:t>merupakan</w:t>
      </w:r>
      <w:proofErr w:type="spellEnd"/>
      <w:r>
        <w:rPr>
          <w:rFonts w:ascii="Calibri" w:hAnsi="Calibri" w:cs="Calibri"/>
          <w:sz w:val="24"/>
          <w:szCs w:val="24"/>
        </w:rPr>
        <w:t xml:space="preserve"> </w:t>
      </w:r>
      <w:proofErr w:type="spellStart"/>
      <w:r>
        <w:rPr>
          <w:rFonts w:ascii="Calibri" w:hAnsi="Calibri" w:cs="Calibri"/>
          <w:sz w:val="24"/>
          <w:szCs w:val="24"/>
        </w:rPr>
        <w:t>potensi</w:t>
      </w:r>
      <w:proofErr w:type="spellEnd"/>
      <w:r>
        <w:rPr>
          <w:rFonts w:ascii="Calibri" w:hAnsi="Calibri" w:cs="Calibri"/>
          <w:sz w:val="24"/>
          <w:szCs w:val="24"/>
        </w:rPr>
        <w:t xml:space="preserve"> </w:t>
      </w:r>
      <w:proofErr w:type="spellStart"/>
      <w:r>
        <w:rPr>
          <w:rFonts w:ascii="Calibri" w:hAnsi="Calibri" w:cs="Calibri"/>
          <w:sz w:val="24"/>
          <w:szCs w:val="24"/>
        </w:rPr>
        <w:t>pendapatan</w:t>
      </w:r>
      <w:proofErr w:type="spellEnd"/>
      <w:r>
        <w:rPr>
          <w:rFonts w:ascii="Calibri" w:hAnsi="Calibri" w:cs="Calibri"/>
          <w:sz w:val="24"/>
          <w:szCs w:val="24"/>
        </w:rPr>
        <w:t xml:space="preserve"> negara yang </w:t>
      </w:r>
      <w:proofErr w:type="spellStart"/>
      <w:r>
        <w:rPr>
          <w:rFonts w:ascii="Calibri" w:hAnsi="Calibri" w:cs="Calibri"/>
          <w:sz w:val="24"/>
          <w:szCs w:val="24"/>
        </w:rPr>
        <w:t>hilang</w:t>
      </w:r>
      <w:proofErr w:type="spellEnd"/>
      <w:r>
        <w:rPr>
          <w:rFonts w:ascii="Calibri" w:hAnsi="Calibri" w:cs="Calibri"/>
          <w:sz w:val="24"/>
          <w:szCs w:val="24"/>
        </w:rPr>
        <w:t xml:space="preserve">. Pada </w:t>
      </w:r>
      <w:proofErr w:type="spellStart"/>
      <w:r>
        <w:rPr>
          <w:rFonts w:ascii="Calibri" w:hAnsi="Calibri" w:cs="Calibri"/>
          <w:sz w:val="24"/>
          <w:szCs w:val="24"/>
        </w:rPr>
        <w:t>umumnya</w:t>
      </w:r>
      <w:proofErr w:type="spellEnd"/>
      <w:r>
        <w:rPr>
          <w:rFonts w:ascii="Calibri" w:hAnsi="Calibri" w:cs="Calibri"/>
          <w:sz w:val="24"/>
          <w:szCs w:val="24"/>
        </w:rPr>
        <w:t xml:space="preserve">, </w:t>
      </w:r>
      <w:proofErr w:type="spellStart"/>
      <w:r>
        <w:rPr>
          <w:rFonts w:ascii="Calibri" w:hAnsi="Calibri" w:cs="Calibri"/>
          <w:sz w:val="24"/>
          <w:szCs w:val="24"/>
        </w:rPr>
        <w:t>perbedaan</w:t>
      </w:r>
      <w:proofErr w:type="spellEnd"/>
      <w:r>
        <w:rPr>
          <w:rFonts w:ascii="Calibri" w:hAnsi="Calibri" w:cs="Calibri"/>
          <w:sz w:val="24"/>
          <w:szCs w:val="24"/>
        </w:rPr>
        <w:t xml:space="preserve"> </w:t>
      </w:r>
      <w:proofErr w:type="spellStart"/>
      <w:r>
        <w:rPr>
          <w:rFonts w:ascii="Calibri" w:hAnsi="Calibri" w:cs="Calibri"/>
          <w:sz w:val="24"/>
          <w:szCs w:val="24"/>
        </w:rPr>
        <w:t>pencatatan</w:t>
      </w:r>
      <w:proofErr w:type="spellEnd"/>
      <w:r>
        <w:rPr>
          <w:rFonts w:ascii="Calibri" w:hAnsi="Calibri" w:cs="Calibri"/>
          <w:sz w:val="24"/>
          <w:szCs w:val="24"/>
        </w:rPr>
        <w:t xml:space="preserve"> </w:t>
      </w:r>
      <w:proofErr w:type="spellStart"/>
      <w:r>
        <w:rPr>
          <w:rFonts w:ascii="Calibri" w:hAnsi="Calibri" w:cs="Calibri"/>
          <w:sz w:val="24"/>
          <w:szCs w:val="24"/>
        </w:rPr>
        <w:t>adalah</w:t>
      </w:r>
      <w:proofErr w:type="spellEnd"/>
      <w:r>
        <w:rPr>
          <w:rFonts w:ascii="Calibri" w:hAnsi="Calibri" w:cs="Calibri"/>
          <w:sz w:val="24"/>
          <w:szCs w:val="24"/>
        </w:rPr>
        <w:t xml:space="preserve"> </w:t>
      </w:r>
      <w:proofErr w:type="spellStart"/>
      <w:r w:rsidRPr="004A016F">
        <w:rPr>
          <w:rFonts w:ascii="Calibri" w:hAnsi="Calibri" w:cs="Calibri"/>
          <w:sz w:val="24"/>
          <w:szCs w:val="24"/>
        </w:rPr>
        <w:t>upaya</w:t>
      </w:r>
      <w:proofErr w:type="spellEnd"/>
      <w:r w:rsidRPr="004A016F">
        <w:rPr>
          <w:rFonts w:ascii="Calibri" w:hAnsi="Calibri" w:cs="Calibri"/>
          <w:sz w:val="24"/>
          <w:szCs w:val="24"/>
        </w:rPr>
        <w:t xml:space="preserve"> </w:t>
      </w:r>
      <w:proofErr w:type="spellStart"/>
      <w:r w:rsidRPr="004A016F">
        <w:rPr>
          <w:rFonts w:ascii="Calibri" w:hAnsi="Calibri" w:cs="Calibri"/>
          <w:sz w:val="24"/>
          <w:szCs w:val="24"/>
        </w:rPr>
        <w:t>menghindari</w:t>
      </w:r>
      <w:proofErr w:type="spellEnd"/>
      <w:r w:rsidRPr="004A016F">
        <w:rPr>
          <w:rFonts w:ascii="Calibri" w:hAnsi="Calibri" w:cs="Calibri"/>
          <w:sz w:val="24"/>
          <w:szCs w:val="24"/>
        </w:rPr>
        <w:t xml:space="preserve"> </w:t>
      </w:r>
      <w:proofErr w:type="spellStart"/>
      <w:r w:rsidRPr="004A016F">
        <w:rPr>
          <w:rFonts w:ascii="Calibri" w:hAnsi="Calibri" w:cs="Calibri"/>
          <w:sz w:val="24"/>
          <w:szCs w:val="24"/>
        </w:rPr>
        <w:t>pajak</w:t>
      </w:r>
      <w:proofErr w:type="spellEnd"/>
      <w:r w:rsidRPr="004A016F">
        <w:rPr>
          <w:rFonts w:ascii="Calibri" w:hAnsi="Calibri" w:cs="Calibri"/>
          <w:sz w:val="24"/>
          <w:szCs w:val="24"/>
        </w:rPr>
        <w:t xml:space="preserve"> dan </w:t>
      </w:r>
      <w:proofErr w:type="spellStart"/>
      <w:r w:rsidRPr="004A016F">
        <w:rPr>
          <w:rFonts w:ascii="Calibri" w:hAnsi="Calibri" w:cs="Calibri"/>
          <w:sz w:val="24"/>
          <w:szCs w:val="24"/>
        </w:rPr>
        <w:t>cukai</w:t>
      </w:r>
      <w:proofErr w:type="spellEnd"/>
      <w:r w:rsidRPr="004A016F">
        <w:rPr>
          <w:rFonts w:ascii="Calibri" w:hAnsi="Calibri" w:cs="Calibri"/>
          <w:sz w:val="24"/>
          <w:szCs w:val="24"/>
        </w:rPr>
        <w:t xml:space="preserve">, </w:t>
      </w:r>
      <w:proofErr w:type="spellStart"/>
      <w:r w:rsidRPr="004A016F">
        <w:rPr>
          <w:rFonts w:ascii="Calibri" w:hAnsi="Calibri" w:cs="Calibri"/>
          <w:sz w:val="24"/>
          <w:szCs w:val="24"/>
        </w:rPr>
        <w:t>cuci</w:t>
      </w:r>
      <w:proofErr w:type="spellEnd"/>
      <w:r w:rsidRPr="004A016F">
        <w:rPr>
          <w:rFonts w:ascii="Calibri" w:hAnsi="Calibri" w:cs="Calibri"/>
          <w:sz w:val="24"/>
          <w:szCs w:val="24"/>
        </w:rPr>
        <w:t xml:space="preserve"> uang </w:t>
      </w:r>
      <w:proofErr w:type="spellStart"/>
      <w:r w:rsidRPr="004A016F">
        <w:rPr>
          <w:rFonts w:ascii="Calibri" w:hAnsi="Calibri" w:cs="Calibri"/>
          <w:sz w:val="24"/>
          <w:szCs w:val="24"/>
        </w:rPr>
        <w:t>hasil</w:t>
      </w:r>
      <w:proofErr w:type="spellEnd"/>
      <w:r w:rsidRPr="004A016F">
        <w:rPr>
          <w:rFonts w:ascii="Calibri" w:hAnsi="Calibri" w:cs="Calibri"/>
          <w:sz w:val="24"/>
          <w:szCs w:val="24"/>
        </w:rPr>
        <w:t xml:space="preserve"> </w:t>
      </w:r>
      <w:proofErr w:type="spellStart"/>
      <w:r w:rsidRPr="004A016F">
        <w:rPr>
          <w:rFonts w:ascii="Calibri" w:hAnsi="Calibri" w:cs="Calibri"/>
          <w:sz w:val="24"/>
          <w:szCs w:val="24"/>
        </w:rPr>
        <w:t>kejahatan</w:t>
      </w:r>
      <w:proofErr w:type="spellEnd"/>
      <w:r w:rsidRPr="004A016F">
        <w:rPr>
          <w:rFonts w:ascii="Calibri" w:hAnsi="Calibri" w:cs="Calibri"/>
          <w:sz w:val="24"/>
          <w:szCs w:val="24"/>
        </w:rPr>
        <w:t xml:space="preserve">, </w:t>
      </w:r>
      <w:proofErr w:type="spellStart"/>
      <w:r w:rsidRPr="004A016F">
        <w:rPr>
          <w:rFonts w:ascii="Calibri" w:hAnsi="Calibri" w:cs="Calibri"/>
          <w:sz w:val="24"/>
          <w:szCs w:val="24"/>
        </w:rPr>
        <w:t>hingga</w:t>
      </w:r>
      <w:proofErr w:type="spellEnd"/>
      <w:r w:rsidRPr="004A016F">
        <w:rPr>
          <w:rFonts w:ascii="Calibri" w:hAnsi="Calibri" w:cs="Calibri"/>
          <w:sz w:val="24"/>
          <w:szCs w:val="24"/>
        </w:rPr>
        <w:t xml:space="preserve"> </w:t>
      </w:r>
      <w:proofErr w:type="spellStart"/>
      <w:r w:rsidRPr="004A016F">
        <w:rPr>
          <w:rFonts w:ascii="Calibri" w:hAnsi="Calibri" w:cs="Calibri"/>
          <w:sz w:val="24"/>
          <w:szCs w:val="24"/>
        </w:rPr>
        <w:t>menyembunyikan</w:t>
      </w:r>
      <w:proofErr w:type="spellEnd"/>
      <w:r w:rsidRPr="004A016F">
        <w:rPr>
          <w:rFonts w:ascii="Calibri" w:hAnsi="Calibri" w:cs="Calibri"/>
          <w:sz w:val="24"/>
          <w:szCs w:val="24"/>
        </w:rPr>
        <w:t xml:space="preserve"> </w:t>
      </w:r>
      <w:proofErr w:type="spellStart"/>
      <w:r w:rsidRPr="004A016F">
        <w:rPr>
          <w:rFonts w:ascii="Calibri" w:hAnsi="Calibri" w:cs="Calibri"/>
          <w:sz w:val="24"/>
          <w:szCs w:val="24"/>
        </w:rPr>
        <w:t>keuntungan</w:t>
      </w:r>
      <w:proofErr w:type="spellEnd"/>
      <w:r w:rsidRPr="004A016F">
        <w:rPr>
          <w:rFonts w:ascii="Calibri" w:hAnsi="Calibri" w:cs="Calibri"/>
          <w:sz w:val="24"/>
          <w:szCs w:val="24"/>
        </w:rPr>
        <w:t xml:space="preserve"> di </w:t>
      </w:r>
      <w:proofErr w:type="spellStart"/>
      <w:r w:rsidRPr="004A016F">
        <w:rPr>
          <w:rFonts w:ascii="Calibri" w:hAnsi="Calibri" w:cs="Calibri"/>
          <w:sz w:val="24"/>
          <w:szCs w:val="24"/>
        </w:rPr>
        <w:t>luar</w:t>
      </w:r>
      <w:proofErr w:type="spellEnd"/>
      <w:r w:rsidRPr="004A016F">
        <w:rPr>
          <w:rFonts w:ascii="Calibri" w:hAnsi="Calibri" w:cs="Calibri"/>
          <w:sz w:val="24"/>
          <w:szCs w:val="24"/>
        </w:rPr>
        <w:t xml:space="preserve"> negeri</w:t>
      </w:r>
      <w:r>
        <w:rPr>
          <w:rFonts w:ascii="Calibri" w:hAnsi="Calibri" w:cs="Calibri"/>
          <w:sz w:val="24"/>
          <w:szCs w:val="24"/>
        </w:rPr>
        <w:t xml:space="preserve">,” </w:t>
      </w:r>
      <w:proofErr w:type="spellStart"/>
      <w:r>
        <w:rPr>
          <w:rFonts w:ascii="Calibri" w:hAnsi="Calibri" w:cs="Calibri"/>
          <w:sz w:val="24"/>
          <w:szCs w:val="24"/>
        </w:rPr>
        <w:t>ungkap</w:t>
      </w:r>
      <w:proofErr w:type="spellEnd"/>
      <w:r>
        <w:rPr>
          <w:rFonts w:ascii="Calibri" w:hAnsi="Calibri" w:cs="Calibri"/>
          <w:sz w:val="24"/>
          <w:szCs w:val="24"/>
        </w:rPr>
        <w:t xml:space="preserve"> </w:t>
      </w:r>
      <w:proofErr w:type="spellStart"/>
      <w:r>
        <w:rPr>
          <w:rFonts w:ascii="Calibri" w:hAnsi="Calibri" w:cs="Calibri"/>
          <w:sz w:val="24"/>
          <w:szCs w:val="24"/>
        </w:rPr>
        <w:t>Christiantoko</w:t>
      </w:r>
      <w:proofErr w:type="spellEnd"/>
      <w:r>
        <w:rPr>
          <w:rFonts w:ascii="Calibri" w:hAnsi="Calibri" w:cs="Calibri"/>
          <w:sz w:val="24"/>
          <w:szCs w:val="24"/>
        </w:rPr>
        <w:t xml:space="preserve">, di Jakarta, </w:t>
      </w:r>
      <w:r w:rsidR="006B36B7">
        <w:rPr>
          <w:rFonts w:ascii="Calibri" w:hAnsi="Calibri" w:cs="Calibri"/>
          <w:sz w:val="24"/>
          <w:szCs w:val="24"/>
        </w:rPr>
        <w:t>Rabu</w:t>
      </w:r>
      <w:r>
        <w:rPr>
          <w:rFonts w:ascii="Calibri" w:hAnsi="Calibri" w:cs="Calibri"/>
          <w:sz w:val="24"/>
          <w:szCs w:val="24"/>
        </w:rPr>
        <w:t xml:space="preserve"> (</w:t>
      </w:r>
      <w:r w:rsidR="006B36B7">
        <w:rPr>
          <w:rFonts w:ascii="Calibri" w:hAnsi="Calibri" w:cs="Calibri"/>
          <w:sz w:val="24"/>
          <w:szCs w:val="24"/>
        </w:rPr>
        <w:t>10</w:t>
      </w:r>
      <w:r>
        <w:rPr>
          <w:rFonts w:ascii="Calibri" w:hAnsi="Calibri" w:cs="Calibri"/>
          <w:sz w:val="24"/>
          <w:szCs w:val="24"/>
        </w:rPr>
        <w:t>/9/2025)</w:t>
      </w:r>
      <w:r w:rsidRPr="004A016F">
        <w:rPr>
          <w:rFonts w:ascii="Calibri" w:hAnsi="Calibri" w:cs="Calibri"/>
          <w:sz w:val="24"/>
          <w:szCs w:val="24"/>
        </w:rPr>
        <w:t>.</w:t>
      </w:r>
    </w:p>
    <w:p w14:paraId="69561F54" w14:textId="77777777" w:rsidR="000E74CF" w:rsidRPr="0040663D" w:rsidRDefault="000E74CF" w:rsidP="000E74CF">
      <w:pPr>
        <w:spacing w:before="240" w:after="240" w:line="240" w:lineRule="auto"/>
        <w:jc w:val="both"/>
        <w:rPr>
          <w:rFonts w:ascii="Calibri" w:hAnsi="Calibri" w:cs="Calibri"/>
          <w:sz w:val="24"/>
          <w:szCs w:val="24"/>
        </w:rPr>
      </w:pPr>
      <w:proofErr w:type="spellStart"/>
      <w:r>
        <w:rPr>
          <w:rFonts w:ascii="Calibri" w:hAnsi="Calibri" w:cs="Calibri"/>
          <w:sz w:val="24"/>
          <w:szCs w:val="24"/>
        </w:rPr>
        <w:t>D</w:t>
      </w:r>
      <w:r w:rsidRPr="0040663D">
        <w:rPr>
          <w:rFonts w:ascii="Calibri" w:hAnsi="Calibri" w:cs="Calibri"/>
          <w:sz w:val="24"/>
          <w:szCs w:val="24"/>
        </w:rPr>
        <w:t>alam</w:t>
      </w:r>
      <w:proofErr w:type="spellEnd"/>
      <w:r w:rsidRPr="0040663D">
        <w:rPr>
          <w:rFonts w:ascii="Calibri" w:hAnsi="Calibri" w:cs="Calibri"/>
          <w:sz w:val="24"/>
          <w:szCs w:val="24"/>
        </w:rPr>
        <w:t xml:space="preserve"> </w:t>
      </w:r>
      <w:proofErr w:type="spellStart"/>
      <w:r w:rsidRPr="0040663D">
        <w:rPr>
          <w:rFonts w:ascii="Calibri" w:hAnsi="Calibri" w:cs="Calibri"/>
          <w:sz w:val="24"/>
          <w:szCs w:val="24"/>
        </w:rPr>
        <w:t>menghitung</w:t>
      </w:r>
      <w:proofErr w:type="spellEnd"/>
      <w:r w:rsidRPr="0040663D">
        <w:rPr>
          <w:rFonts w:ascii="Calibri" w:hAnsi="Calibri" w:cs="Calibri"/>
          <w:sz w:val="24"/>
          <w:szCs w:val="24"/>
        </w:rPr>
        <w:t xml:space="preserve"> </w:t>
      </w:r>
      <w:proofErr w:type="spellStart"/>
      <w:r w:rsidRPr="0040663D">
        <w:rPr>
          <w:rFonts w:ascii="Calibri" w:hAnsi="Calibri" w:cs="Calibri"/>
          <w:sz w:val="24"/>
          <w:szCs w:val="24"/>
        </w:rPr>
        <w:t>aliran</w:t>
      </w:r>
      <w:proofErr w:type="spellEnd"/>
      <w:r w:rsidRPr="0040663D">
        <w:rPr>
          <w:rFonts w:ascii="Calibri" w:hAnsi="Calibri" w:cs="Calibri"/>
          <w:sz w:val="24"/>
          <w:szCs w:val="24"/>
        </w:rPr>
        <w:t xml:space="preserve"> dana </w:t>
      </w:r>
      <w:proofErr w:type="spellStart"/>
      <w:r w:rsidRPr="0040663D">
        <w:rPr>
          <w:rFonts w:ascii="Calibri" w:hAnsi="Calibri" w:cs="Calibri"/>
          <w:sz w:val="24"/>
          <w:szCs w:val="24"/>
        </w:rPr>
        <w:t>siluman</w:t>
      </w:r>
      <w:proofErr w:type="spellEnd"/>
      <w:r w:rsidRPr="0040663D">
        <w:rPr>
          <w:rFonts w:ascii="Calibri" w:hAnsi="Calibri" w:cs="Calibri"/>
          <w:sz w:val="24"/>
          <w:szCs w:val="24"/>
        </w:rPr>
        <w:t xml:space="preserve"> </w:t>
      </w:r>
      <w:proofErr w:type="spellStart"/>
      <w:r w:rsidRPr="0040663D">
        <w:rPr>
          <w:rFonts w:ascii="Calibri" w:hAnsi="Calibri" w:cs="Calibri"/>
          <w:sz w:val="24"/>
          <w:szCs w:val="24"/>
        </w:rPr>
        <w:t>dari</w:t>
      </w:r>
      <w:proofErr w:type="spellEnd"/>
      <w:r w:rsidRPr="0040663D">
        <w:rPr>
          <w:rFonts w:ascii="Calibri" w:hAnsi="Calibri" w:cs="Calibri"/>
          <w:sz w:val="24"/>
          <w:szCs w:val="24"/>
        </w:rPr>
        <w:t xml:space="preserve"> </w:t>
      </w:r>
      <w:proofErr w:type="spellStart"/>
      <w:r w:rsidRPr="0040663D">
        <w:rPr>
          <w:rFonts w:ascii="Calibri" w:hAnsi="Calibri" w:cs="Calibri"/>
          <w:sz w:val="24"/>
          <w:szCs w:val="24"/>
        </w:rPr>
        <w:t>ekspor</w:t>
      </w:r>
      <w:proofErr w:type="spellEnd"/>
      <w:r>
        <w:rPr>
          <w:rFonts w:ascii="Calibri" w:hAnsi="Calibri" w:cs="Calibri"/>
          <w:sz w:val="24"/>
          <w:szCs w:val="24"/>
        </w:rPr>
        <w:t xml:space="preserve">, </w:t>
      </w:r>
      <w:proofErr w:type="spellStart"/>
      <w:r>
        <w:rPr>
          <w:rFonts w:ascii="Calibri" w:hAnsi="Calibri" w:cs="Calibri"/>
          <w:sz w:val="24"/>
          <w:szCs w:val="24"/>
        </w:rPr>
        <w:t>lanjutnya</w:t>
      </w:r>
      <w:proofErr w:type="spellEnd"/>
      <w:r w:rsidRPr="0040663D">
        <w:rPr>
          <w:rFonts w:ascii="Calibri" w:hAnsi="Calibri" w:cs="Calibri"/>
          <w:sz w:val="24"/>
          <w:szCs w:val="24"/>
        </w:rPr>
        <w:t xml:space="preserve">, NEXT Indonesia Center </w:t>
      </w:r>
      <w:proofErr w:type="spellStart"/>
      <w:r w:rsidRPr="0040663D">
        <w:rPr>
          <w:rFonts w:ascii="Calibri" w:hAnsi="Calibri" w:cs="Calibri"/>
          <w:sz w:val="24"/>
          <w:szCs w:val="24"/>
        </w:rPr>
        <w:t>menggunakan</w:t>
      </w:r>
      <w:proofErr w:type="spellEnd"/>
      <w:r w:rsidRPr="0040663D">
        <w:rPr>
          <w:rFonts w:ascii="Calibri" w:hAnsi="Calibri" w:cs="Calibri"/>
          <w:sz w:val="24"/>
          <w:szCs w:val="24"/>
        </w:rPr>
        <w:t xml:space="preserve"> </w:t>
      </w:r>
      <w:proofErr w:type="spellStart"/>
      <w:r w:rsidRPr="0040663D">
        <w:rPr>
          <w:rFonts w:ascii="Calibri" w:hAnsi="Calibri" w:cs="Calibri"/>
          <w:sz w:val="24"/>
          <w:szCs w:val="24"/>
        </w:rPr>
        <w:t>metode</w:t>
      </w:r>
      <w:proofErr w:type="spellEnd"/>
      <w:r w:rsidRPr="0040663D">
        <w:rPr>
          <w:rFonts w:ascii="Calibri" w:hAnsi="Calibri" w:cs="Calibri"/>
          <w:sz w:val="24"/>
          <w:szCs w:val="24"/>
        </w:rPr>
        <w:t xml:space="preserve"> yang </w:t>
      </w:r>
      <w:proofErr w:type="spellStart"/>
      <w:r w:rsidRPr="0040663D">
        <w:rPr>
          <w:rFonts w:ascii="Calibri" w:hAnsi="Calibri" w:cs="Calibri"/>
          <w:sz w:val="24"/>
          <w:szCs w:val="24"/>
        </w:rPr>
        <w:t>berlaku</w:t>
      </w:r>
      <w:proofErr w:type="spellEnd"/>
      <w:r w:rsidRPr="0040663D">
        <w:rPr>
          <w:rFonts w:ascii="Calibri" w:hAnsi="Calibri" w:cs="Calibri"/>
          <w:sz w:val="24"/>
          <w:szCs w:val="24"/>
        </w:rPr>
        <w:t xml:space="preserve"> </w:t>
      </w:r>
      <w:proofErr w:type="spellStart"/>
      <w:r w:rsidRPr="0040663D">
        <w:rPr>
          <w:rFonts w:ascii="Calibri" w:hAnsi="Calibri" w:cs="Calibri"/>
          <w:sz w:val="24"/>
          <w:szCs w:val="24"/>
        </w:rPr>
        <w:t>secara</w:t>
      </w:r>
      <w:proofErr w:type="spellEnd"/>
      <w:r w:rsidRPr="0040663D">
        <w:rPr>
          <w:rFonts w:ascii="Calibri" w:hAnsi="Calibri" w:cs="Calibri"/>
          <w:sz w:val="24"/>
          <w:szCs w:val="24"/>
        </w:rPr>
        <w:t xml:space="preserve"> </w:t>
      </w:r>
      <w:proofErr w:type="spellStart"/>
      <w:r w:rsidRPr="0040663D">
        <w:rPr>
          <w:rFonts w:ascii="Calibri" w:hAnsi="Calibri" w:cs="Calibri"/>
          <w:sz w:val="24"/>
          <w:szCs w:val="24"/>
        </w:rPr>
        <w:t>internasional</w:t>
      </w:r>
      <w:proofErr w:type="spellEnd"/>
      <w:r w:rsidRPr="0040663D">
        <w:rPr>
          <w:rFonts w:ascii="Calibri" w:hAnsi="Calibri" w:cs="Calibri"/>
          <w:sz w:val="24"/>
          <w:szCs w:val="24"/>
        </w:rPr>
        <w:t xml:space="preserve">, </w:t>
      </w:r>
      <w:proofErr w:type="spellStart"/>
      <w:r w:rsidRPr="0040663D">
        <w:rPr>
          <w:rFonts w:ascii="Calibri" w:hAnsi="Calibri" w:cs="Calibri"/>
          <w:sz w:val="24"/>
          <w:szCs w:val="24"/>
        </w:rPr>
        <w:t>yakni</w:t>
      </w:r>
      <w:proofErr w:type="spellEnd"/>
      <w:r w:rsidRPr="0040663D">
        <w:rPr>
          <w:rFonts w:ascii="Calibri" w:hAnsi="Calibri" w:cs="Calibri"/>
          <w:sz w:val="24"/>
          <w:szCs w:val="24"/>
        </w:rPr>
        <w:t xml:space="preserve"> yang </w:t>
      </w:r>
      <w:proofErr w:type="spellStart"/>
      <w:r w:rsidRPr="0040663D">
        <w:rPr>
          <w:rFonts w:ascii="Calibri" w:hAnsi="Calibri" w:cs="Calibri"/>
          <w:sz w:val="24"/>
          <w:szCs w:val="24"/>
        </w:rPr>
        <w:t>dikeluarkan</w:t>
      </w:r>
      <w:proofErr w:type="spellEnd"/>
      <w:r w:rsidRPr="0040663D">
        <w:rPr>
          <w:rFonts w:ascii="Calibri" w:hAnsi="Calibri" w:cs="Calibri"/>
          <w:sz w:val="24"/>
          <w:szCs w:val="24"/>
        </w:rPr>
        <w:t xml:space="preserve"> oleh </w:t>
      </w:r>
      <w:r w:rsidRPr="0040663D">
        <w:rPr>
          <w:rFonts w:ascii="Calibri" w:hAnsi="Calibri" w:cs="Calibri"/>
          <w:sz w:val="24"/>
          <w:szCs w:val="24"/>
          <w:lang w:val="id-ID"/>
        </w:rPr>
        <w:t xml:space="preserve">Global Financial </w:t>
      </w:r>
      <w:proofErr w:type="spellStart"/>
      <w:r w:rsidRPr="0040663D">
        <w:rPr>
          <w:rFonts w:ascii="Calibri" w:hAnsi="Calibri" w:cs="Calibri"/>
          <w:sz w:val="24"/>
          <w:szCs w:val="24"/>
          <w:lang w:val="id-ID"/>
        </w:rPr>
        <w:t>Integrity</w:t>
      </w:r>
      <w:proofErr w:type="spellEnd"/>
      <w:r w:rsidRPr="0040663D">
        <w:rPr>
          <w:rFonts w:ascii="Calibri" w:hAnsi="Calibri" w:cs="Calibri"/>
          <w:sz w:val="24"/>
          <w:szCs w:val="24"/>
          <w:lang w:val="id-ID"/>
        </w:rPr>
        <w:t xml:space="preserve"> (GFI). Lembaga tersebut merupakan </w:t>
      </w:r>
      <w:proofErr w:type="spellStart"/>
      <w:r w:rsidRPr="0040663D">
        <w:rPr>
          <w:rFonts w:ascii="Calibri" w:hAnsi="Calibri" w:cs="Calibri"/>
          <w:i/>
          <w:iCs/>
          <w:sz w:val="24"/>
          <w:szCs w:val="24"/>
          <w:lang w:val="id-ID"/>
        </w:rPr>
        <w:t>think</w:t>
      </w:r>
      <w:proofErr w:type="spellEnd"/>
      <w:r w:rsidRPr="0040663D">
        <w:rPr>
          <w:rFonts w:ascii="Calibri" w:hAnsi="Calibri" w:cs="Calibri"/>
          <w:i/>
          <w:iCs/>
          <w:sz w:val="24"/>
          <w:szCs w:val="24"/>
          <w:lang w:val="id-ID"/>
        </w:rPr>
        <w:t xml:space="preserve"> tank</w:t>
      </w:r>
      <w:r w:rsidRPr="0040663D">
        <w:rPr>
          <w:rFonts w:ascii="Calibri" w:hAnsi="Calibri" w:cs="Calibri"/>
          <w:sz w:val="24"/>
          <w:szCs w:val="24"/>
          <w:lang w:val="id-ID"/>
        </w:rPr>
        <w:t xml:space="preserve"> berbasis di Washington DC</w:t>
      </w:r>
      <w:r>
        <w:rPr>
          <w:rFonts w:ascii="Calibri" w:hAnsi="Calibri" w:cs="Calibri"/>
          <w:sz w:val="24"/>
          <w:szCs w:val="24"/>
          <w:lang w:val="id-ID"/>
        </w:rPr>
        <w:t>, Amerika Serikat</w:t>
      </w:r>
      <w:r w:rsidRPr="0040663D">
        <w:rPr>
          <w:rFonts w:ascii="Calibri" w:hAnsi="Calibri" w:cs="Calibri"/>
          <w:sz w:val="24"/>
          <w:szCs w:val="24"/>
          <w:lang w:val="id-ID"/>
        </w:rPr>
        <w:t xml:space="preserve"> yang fokus pada</w:t>
      </w:r>
      <w:r>
        <w:rPr>
          <w:rFonts w:ascii="Calibri" w:hAnsi="Calibri" w:cs="Calibri"/>
          <w:sz w:val="24"/>
          <w:szCs w:val="24"/>
          <w:lang w:val="id-ID"/>
        </w:rPr>
        <w:t xml:space="preserve"> aliran dana gelap atau dana siluma</w:t>
      </w:r>
      <w:r w:rsidRPr="0040663D">
        <w:rPr>
          <w:rFonts w:ascii="Calibri" w:hAnsi="Calibri" w:cs="Calibri"/>
          <w:sz w:val="24"/>
          <w:szCs w:val="24"/>
          <w:lang w:val="id-ID"/>
        </w:rPr>
        <w:t>n (</w:t>
      </w:r>
      <w:proofErr w:type="spellStart"/>
      <w:r w:rsidRPr="0040663D">
        <w:rPr>
          <w:rFonts w:ascii="Calibri" w:hAnsi="Calibri" w:cs="Calibri"/>
          <w:i/>
          <w:iCs/>
          <w:sz w:val="24"/>
          <w:szCs w:val="24"/>
          <w:lang w:val="id-ID"/>
        </w:rPr>
        <w:t>illicit</w:t>
      </w:r>
      <w:proofErr w:type="spellEnd"/>
      <w:r w:rsidRPr="0040663D">
        <w:rPr>
          <w:rFonts w:ascii="Calibri" w:hAnsi="Calibri" w:cs="Calibri"/>
          <w:i/>
          <w:iCs/>
          <w:sz w:val="24"/>
          <w:szCs w:val="24"/>
          <w:lang w:val="id-ID"/>
        </w:rPr>
        <w:t xml:space="preserve"> </w:t>
      </w:r>
      <w:proofErr w:type="spellStart"/>
      <w:r w:rsidRPr="0040663D">
        <w:rPr>
          <w:rFonts w:ascii="Calibri" w:hAnsi="Calibri" w:cs="Calibri"/>
          <w:i/>
          <w:iCs/>
          <w:sz w:val="24"/>
          <w:szCs w:val="24"/>
          <w:lang w:val="id-ID"/>
        </w:rPr>
        <w:t>financial</w:t>
      </w:r>
      <w:proofErr w:type="spellEnd"/>
      <w:r w:rsidRPr="0040663D">
        <w:rPr>
          <w:rFonts w:ascii="Calibri" w:hAnsi="Calibri" w:cs="Calibri"/>
          <w:i/>
          <w:iCs/>
          <w:sz w:val="24"/>
          <w:szCs w:val="24"/>
          <w:lang w:val="id-ID"/>
        </w:rPr>
        <w:t xml:space="preserve"> </w:t>
      </w:r>
      <w:proofErr w:type="spellStart"/>
      <w:r w:rsidRPr="0040663D">
        <w:rPr>
          <w:rFonts w:ascii="Calibri" w:hAnsi="Calibri" w:cs="Calibri"/>
          <w:i/>
          <w:iCs/>
          <w:sz w:val="24"/>
          <w:szCs w:val="24"/>
          <w:lang w:val="id-ID"/>
        </w:rPr>
        <w:t>flows</w:t>
      </w:r>
      <w:proofErr w:type="spellEnd"/>
      <w:r w:rsidRPr="0040663D">
        <w:rPr>
          <w:rFonts w:ascii="Calibri" w:hAnsi="Calibri" w:cs="Calibri"/>
          <w:i/>
          <w:iCs/>
          <w:sz w:val="24"/>
          <w:szCs w:val="24"/>
          <w:lang w:val="id-ID"/>
        </w:rPr>
        <w:t xml:space="preserve">, </w:t>
      </w:r>
      <w:r w:rsidRPr="00B633AB">
        <w:rPr>
          <w:rFonts w:ascii="Calibri" w:hAnsi="Calibri" w:cs="Calibri"/>
          <w:sz w:val="24"/>
          <w:szCs w:val="24"/>
          <w:lang w:val="id-ID"/>
        </w:rPr>
        <w:t>IFF</w:t>
      </w:r>
      <w:r w:rsidRPr="0040663D">
        <w:rPr>
          <w:rFonts w:ascii="Calibri" w:hAnsi="Calibri" w:cs="Calibri"/>
          <w:sz w:val="24"/>
          <w:szCs w:val="24"/>
          <w:lang w:val="id-ID"/>
        </w:rPr>
        <w:t>), korupsi, perdagangan gelap dan pencucian uang</w:t>
      </w:r>
      <w:r>
        <w:rPr>
          <w:rFonts w:ascii="Calibri" w:hAnsi="Calibri" w:cs="Calibri"/>
          <w:sz w:val="24"/>
          <w:szCs w:val="24"/>
          <w:lang w:val="id-ID"/>
        </w:rPr>
        <w:t>.</w:t>
      </w:r>
    </w:p>
    <w:p w14:paraId="27FCD500" w14:textId="77777777" w:rsidR="000E74CF" w:rsidRDefault="000E74CF" w:rsidP="000E74CF">
      <w:pPr>
        <w:spacing w:after="240" w:line="240" w:lineRule="auto"/>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 xml:space="preserve">Lebih lanjut </w:t>
      </w:r>
      <w:proofErr w:type="spellStart"/>
      <w:r w:rsidRPr="000334FC">
        <w:rPr>
          <w:rFonts w:ascii="Calibri" w:hAnsi="Calibri" w:cs="Calibri"/>
          <w:color w:val="000000" w:themeColor="text1"/>
          <w:sz w:val="24"/>
          <w:szCs w:val="24"/>
          <w:lang w:val="id-ID"/>
        </w:rPr>
        <w:t>Christiantoko</w:t>
      </w:r>
      <w:proofErr w:type="spellEnd"/>
      <w:r w:rsidRPr="000334FC">
        <w:rPr>
          <w:rFonts w:ascii="Calibri" w:hAnsi="Calibri" w:cs="Calibri"/>
          <w:color w:val="000000" w:themeColor="text1"/>
          <w:sz w:val="24"/>
          <w:szCs w:val="24"/>
          <w:lang w:val="id-ID"/>
        </w:rPr>
        <w:t xml:space="preserve"> </w:t>
      </w:r>
      <w:r>
        <w:rPr>
          <w:rFonts w:ascii="Calibri" w:hAnsi="Calibri" w:cs="Calibri"/>
          <w:color w:val="000000" w:themeColor="text1"/>
          <w:sz w:val="24"/>
          <w:szCs w:val="24"/>
          <w:lang w:val="id-ID"/>
        </w:rPr>
        <w:t>memaparka</w:t>
      </w:r>
      <w:r w:rsidRPr="000334FC">
        <w:rPr>
          <w:rFonts w:ascii="Calibri" w:hAnsi="Calibri" w:cs="Calibri"/>
          <w:color w:val="000000" w:themeColor="text1"/>
          <w:sz w:val="24"/>
          <w:szCs w:val="24"/>
          <w:lang w:val="id-ID"/>
        </w:rPr>
        <w:t xml:space="preserve">n, dari penelusuran lembaga yang dia pimpin, untuk </w:t>
      </w:r>
      <w:proofErr w:type="spellStart"/>
      <w:r w:rsidRPr="000334FC">
        <w:rPr>
          <w:rFonts w:ascii="Calibri" w:hAnsi="Calibri" w:cs="Calibri"/>
          <w:i/>
          <w:iCs/>
          <w:color w:val="000000" w:themeColor="text1"/>
          <w:sz w:val="24"/>
          <w:szCs w:val="24"/>
          <w:lang w:val="id-ID"/>
        </w:rPr>
        <w:t>under-invoicing</w:t>
      </w:r>
      <w:proofErr w:type="spellEnd"/>
      <w:r w:rsidRPr="000334FC">
        <w:rPr>
          <w:rFonts w:ascii="Calibri" w:hAnsi="Calibri" w:cs="Calibri"/>
          <w:color w:val="000000" w:themeColor="text1"/>
          <w:sz w:val="24"/>
          <w:szCs w:val="24"/>
          <w:lang w:val="id-ID"/>
        </w:rPr>
        <w:t xml:space="preserve"> ekspor</w:t>
      </w:r>
      <w:r>
        <w:rPr>
          <w:rFonts w:ascii="Calibri" w:hAnsi="Calibri" w:cs="Calibri"/>
          <w:color w:val="000000" w:themeColor="text1"/>
          <w:sz w:val="24"/>
          <w:szCs w:val="24"/>
          <w:lang w:val="id-ID"/>
        </w:rPr>
        <w:t>, nilai yang</w:t>
      </w:r>
      <w:r w:rsidRPr="000334FC">
        <w:rPr>
          <w:rFonts w:ascii="Calibri" w:hAnsi="Calibri" w:cs="Calibri"/>
          <w:color w:val="000000" w:themeColor="text1"/>
          <w:sz w:val="24"/>
          <w:szCs w:val="24"/>
          <w:lang w:val="id-ID"/>
        </w:rPr>
        <w:t xml:space="preserve"> terbesar terjadi pada transaksi Indonesia dengan Tiongkok. Pada periode 2014-2023, nilainya mencapai US$53 miliar</w:t>
      </w:r>
      <w:r>
        <w:rPr>
          <w:rFonts w:ascii="Calibri" w:hAnsi="Calibri" w:cs="Calibri"/>
          <w:color w:val="000000" w:themeColor="text1"/>
          <w:sz w:val="24"/>
          <w:szCs w:val="24"/>
          <w:lang w:val="id-ID"/>
        </w:rPr>
        <w:t xml:space="preserve">. Dalam kurs rupiah, yakni sekitar </w:t>
      </w:r>
      <w:r w:rsidRPr="000334FC">
        <w:rPr>
          <w:rFonts w:ascii="Calibri" w:hAnsi="Calibri" w:cs="Calibri"/>
          <w:color w:val="000000" w:themeColor="text1"/>
          <w:sz w:val="24"/>
          <w:szCs w:val="24"/>
          <w:lang w:val="id-ID"/>
        </w:rPr>
        <w:t xml:space="preserve">Rp863 triliun </w:t>
      </w:r>
      <w:r>
        <w:rPr>
          <w:rFonts w:ascii="Calibri" w:hAnsi="Calibri" w:cs="Calibri"/>
          <w:color w:val="000000" w:themeColor="text1"/>
          <w:sz w:val="24"/>
          <w:szCs w:val="24"/>
          <w:lang w:val="id-ID"/>
        </w:rPr>
        <w:t xml:space="preserve">atau rata-rata </w:t>
      </w:r>
      <w:r w:rsidRPr="000334FC">
        <w:rPr>
          <w:rFonts w:ascii="Calibri" w:hAnsi="Calibri" w:cs="Calibri"/>
          <w:color w:val="000000" w:themeColor="text1"/>
          <w:sz w:val="24"/>
          <w:szCs w:val="24"/>
          <w:lang w:val="id-ID"/>
        </w:rPr>
        <w:t xml:space="preserve">Rp86,3 triliun per tahun (kurs tengah Bank Indonesia per 22 Juni 2025, US$1=Rp16.283). </w:t>
      </w:r>
    </w:p>
    <w:p w14:paraId="298421AA" w14:textId="77777777" w:rsidR="000E74CF" w:rsidRPr="000334FC" w:rsidRDefault="000E74CF" w:rsidP="000E74CF">
      <w:pPr>
        <w:spacing w:after="240" w:line="240" w:lineRule="auto"/>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Proporsi transaksi ekspor Indonesia dengan Tiongkok tersebut  sekitar</w:t>
      </w:r>
      <w:r w:rsidRPr="000334FC">
        <w:rPr>
          <w:rFonts w:ascii="Calibri" w:hAnsi="Calibri" w:cs="Calibri"/>
          <w:color w:val="000000" w:themeColor="text1"/>
          <w:sz w:val="24"/>
          <w:szCs w:val="24"/>
          <w:lang w:val="id-ID"/>
        </w:rPr>
        <w:t xml:space="preserve"> 13,19% dari total nilai </w:t>
      </w:r>
      <w:proofErr w:type="spellStart"/>
      <w:r w:rsidRPr="000334FC">
        <w:rPr>
          <w:rFonts w:ascii="Calibri" w:hAnsi="Calibri" w:cs="Calibri"/>
          <w:i/>
          <w:iCs/>
          <w:color w:val="000000" w:themeColor="text1"/>
          <w:sz w:val="24"/>
          <w:szCs w:val="24"/>
          <w:lang w:val="id-ID"/>
        </w:rPr>
        <w:t>under-invoicing</w:t>
      </w:r>
      <w:proofErr w:type="spellEnd"/>
      <w:r w:rsidRPr="000334FC">
        <w:rPr>
          <w:rFonts w:ascii="Calibri" w:hAnsi="Calibri" w:cs="Calibri"/>
          <w:color w:val="000000" w:themeColor="text1"/>
          <w:sz w:val="24"/>
          <w:szCs w:val="24"/>
          <w:lang w:val="id-ID"/>
        </w:rPr>
        <w:t xml:space="preserve"> dalam 10 tahun </w:t>
      </w:r>
      <w:r>
        <w:rPr>
          <w:rFonts w:ascii="Calibri" w:hAnsi="Calibri" w:cs="Calibri"/>
          <w:color w:val="000000" w:themeColor="text1"/>
          <w:sz w:val="24"/>
          <w:szCs w:val="24"/>
          <w:lang w:val="id-ID"/>
        </w:rPr>
        <w:t xml:space="preserve">terakhir yang </w:t>
      </w:r>
      <w:r w:rsidRPr="000334FC">
        <w:rPr>
          <w:rFonts w:ascii="Calibri" w:hAnsi="Calibri" w:cs="Calibri"/>
          <w:color w:val="000000" w:themeColor="text1"/>
          <w:sz w:val="24"/>
          <w:szCs w:val="24"/>
          <w:lang w:val="id-ID"/>
        </w:rPr>
        <w:t>senilai US$401,6 miliar atau Rp6.539,3 triliun.</w:t>
      </w:r>
      <w:r>
        <w:rPr>
          <w:rFonts w:ascii="Calibri" w:hAnsi="Calibri" w:cs="Calibri"/>
          <w:color w:val="000000" w:themeColor="text1"/>
          <w:sz w:val="24"/>
          <w:szCs w:val="24"/>
          <w:lang w:val="id-ID"/>
        </w:rPr>
        <w:t xml:space="preserve"> Sedangkan selisih c</w:t>
      </w:r>
      <w:r w:rsidRPr="000334FC">
        <w:rPr>
          <w:rFonts w:ascii="Calibri" w:hAnsi="Calibri" w:cs="Calibri"/>
          <w:color w:val="000000" w:themeColor="text1"/>
          <w:sz w:val="24"/>
          <w:szCs w:val="24"/>
          <w:lang w:val="id-ID"/>
        </w:rPr>
        <w:t xml:space="preserve">atatan ekspor ke Singapura ada di posisi kedua dengan nilai </w:t>
      </w:r>
      <w:proofErr w:type="spellStart"/>
      <w:r w:rsidRPr="000334FC">
        <w:rPr>
          <w:rFonts w:ascii="Calibri" w:hAnsi="Calibri" w:cs="Calibri"/>
          <w:i/>
          <w:iCs/>
          <w:color w:val="000000" w:themeColor="text1"/>
          <w:sz w:val="24"/>
          <w:szCs w:val="24"/>
          <w:lang w:val="id-ID"/>
        </w:rPr>
        <w:t>under</w:t>
      </w:r>
      <w:proofErr w:type="spellEnd"/>
      <w:r>
        <w:rPr>
          <w:rFonts w:ascii="Calibri" w:hAnsi="Calibri" w:cs="Calibri"/>
          <w:i/>
          <w:iCs/>
          <w:color w:val="000000" w:themeColor="text1"/>
          <w:sz w:val="24"/>
          <w:szCs w:val="24"/>
          <w:lang w:val="id-ID"/>
        </w:rPr>
        <w:t xml:space="preserve"> </w:t>
      </w:r>
      <w:proofErr w:type="spellStart"/>
      <w:r w:rsidRPr="000334FC">
        <w:rPr>
          <w:rFonts w:ascii="Calibri" w:hAnsi="Calibri" w:cs="Calibri"/>
          <w:i/>
          <w:iCs/>
          <w:color w:val="000000" w:themeColor="text1"/>
          <w:sz w:val="24"/>
          <w:szCs w:val="24"/>
          <w:lang w:val="id-ID"/>
        </w:rPr>
        <w:t>invoicing</w:t>
      </w:r>
      <w:proofErr w:type="spellEnd"/>
      <w:r w:rsidRPr="000334FC">
        <w:rPr>
          <w:rFonts w:ascii="Calibri" w:hAnsi="Calibri" w:cs="Calibri"/>
          <w:color w:val="000000" w:themeColor="text1"/>
          <w:sz w:val="24"/>
          <w:szCs w:val="24"/>
          <w:lang w:val="id-ID"/>
        </w:rPr>
        <w:t xml:space="preserve"> US$46,4 miliar. Selanjutnya, disusul Amerika Serikat senilai US$32,7 miliar.</w:t>
      </w:r>
    </w:p>
    <w:p w14:paraId="4D0C473B" w14:textId="77777777" w:rsidR="000E74CF" w:rsidRDefault="000E74CF" w:rsidP="000E74CF">
      <w:pPr>
        <w:spacing w:after="240" w:line="240" w:lineRule="auto"/>
        <w:jc w:val="both"/>
        <w:rPr>
          <w:rFonts w:ascii="Calibri" w:hAnsi="Calibri" w:cs="Calibri"/>
          <w:color w:val="000000" w:themeColor="text1"/>
          <w:sz w:val="24"/>
          <w:szCs w:val="24"/>
          <w:lang w:val="id-ID"/>
        </w:rPr>
      </w:pPr>
      <w:r w:rsidRPr="000334FC">
        <w:rPr>
          <w:rFonts w:ascii="Calibri" w:hAnsi="Calibri" w:cs="Calibri"/>
          <w:color w:val="000000" w:themeColor="text1"/>
          <w:sz w:val="24"/>
          <w:szCs w:val="24"/>
          <w:lang w:val="id-ID"/>
        </w:rPr>
        <w:lastRenderedPageBreak/>
        <w:t>“</w:t>
      </w:r>
      <w:r>
        <w:rPr>
          <w:rFonts w:ascii="Calibri" w:hAnsi="Calibri" w:cs="Calibri"/>
          <w:color w:val="000000" w:themeColor="text1"/>
          <w:sz w:val="24"/>
          <w:szCs w:val="24"/>
          <w:lang w:val="id-ID"/>
        </w:rPr>
        <w:t>Pemerintah harus serius menggali potensi pendapatan yang hilang ini sehingga dapat menurunkan peluang untuk menaikkan tarif pajak. Apalagi, manipulasi pencatatan ekspor tersebut merupakan tindakan kejahatan keuangan</w:t>
      </w:r>
      <w:r w:rsidRPr="000334FC">
        <w:rPr>
          <w:rFonts w:ascii="Calibri" w:hAnsi="Calibri" w:cs="Calibri"/>
          <w:color w:val="000000" w:themeColor="text1"/>
          <w:sz w:val="24"/>
          <w:szCs w:val="24"/>
          <w:lang w:val="id-ID"/>
        </w:rPr>
        <w:t xml:space="preserve">,” ujar </w:t>
      </w:r>
      <w:proofErr w:type="spellStart"/>
      <w:r w:rsidRPr="000334FC">
        <w:rPr>
          <w:rFonts w:ascii="Calibri" w:hAnsi="Calibri" w:cs="Calibri"/>
          <w:color w:val="000000" w:themeColor="text1"/>
          <w:sz w:val="24"/>
          <w:szCs w:val="24"/>
          <w:lang w:val="id-ID"/>
        </w:rPr>
        <w:t>Christiantoko</w:t>
      </w:r>
      <w:proofErr w:type="spellEnd"/>
      <w:r w:rsidRPr="000334FC">
        <w:rPr>
          <w:rFonts w:ascii="Calibri" w:hAnsi="Calibri" w:cs="Calibri"/>
          <w:color w:val="000000" w:themeColor="text1"/>
          <w:sz w:val="24"/>
          <w:szCs w:val="24"/>
          <w:lang w:val="id-ID"/>
        </w:rPr>
        <w:t xml:space="preserve">. </w:t>
      </w:r>
    </w:p>
    <w:p w14:paraId="6B157F6B" w14:textId="77777777" w:rsidR="000E74CF" w:rsidRPr="000A4E3F" w:rsidRDefault="000E74CF" w:rsidP="000E74CF">
      <w:pPr>
        <w:spacing w:after="240" w:line="240" w:lineRule="auto"/>
        <w:jc w:val="both"/>
        <w:rPr>
          <w:rFonts w:ascii="Calibri" w:hAnsi="Calibri" w:cs="Calibri"/>
          <w:color w:val="2F5496" w:themeColor="accent1" w:themeShade="BF"/>
          <w:lang w:val="id-ID"/>
        </w:rPr>
      </w:pPr>
      <w:r>
        <w:rPr>
          <w:rFonts w:ascii="Calibri" w:hAnsi="Calibri" w:cs="Calibri"/>
          <w:color w:val="000000" w:themeColor="text1"/>
          <w:sz w:val="24"/>
          <w:szCs w:val="24"/>
          <w:lang w:val="id-ID"/>
        </w:rPr>
        <w:t xml:space="preserve">Dari sisi komoditas, catatan </w:t>
      </w:r>
      <w:proofErr w:type="spellStart"/>
      <w:r w:rsidRPr="0096336C">
        <w:rPr>
          <w:rFonts w:ascii="Calibri" w:hAnsi="Calibri" w:cs="Calibri"/>
          <w:i/>
          <w:iCs/>
          <w:color w:val="000000" w:themeColor="text1"/>
          <w:sz w:val="24"/>
          <w:szCs w:val="24"/>
          <w:lang w:val="id-ID"/>
        </w:rPr>
        <w:t>under</w:t>
      </w:r>
      <w:proofErr w:type="spellEnd"/>
      <w:r w:rsidRPr="0096336C">
        <w:rPr>
          <w:rFonts w:ascii="Calibri" w:hAnsi="Calibri" w:cs="Calibri"/>
          <w:i/>
          <w:iCs/>
          <w:color w:val="000000" w:themeColor="text1"/>
          <w:sz w:val="24"/>
          <w:szCs w:val="24"/>
          <w:lang w:val="id-ID"/>
        </w:rPr>
        <w:t xml:space="preserve"> </w:t>
      </w:r>
      <w:proofErr w:type="spellStart"/>
      <w:r w:rsidRPr="0096336C">
        <w:rPr>
          <w:rFonts w:ascii="Calibri" w:hAnsi="Calibri" w:cs="Calibri"/>
          <w:i/>
          <w:iCs/>
          <w:color w:val="000000" w:themeColor="text1"/>
          <w:sz w:val="24"/>
          <w:szCs w:val="24"/>
          <w:lang w:val="id-ID"/>
        </w:rPr>
        <w:t>invoicing</w:t>
      </w:r>
      <w:proofErr w:type="spellEnd"/>
      <w:r>
        <w:rPr>
          <w:rFonts w:ascii="Calibri" w:hAnsi="Calibri" w:cs="Calibri"/>
          <w:color w:val="000000" w:themeColor="text1"/>
          <w:sz w:val="24"/>
          <w:szCs w:val="24"/>
          <w:lang w:val="id-ID"/>
        </w:rPr>
        <w:t xml:space="preserve"> yang terbesar sepanjang periode 2014-2023 adalah limbah dan </w:t>
      </w:r>
      <w:proofErr w:type="spellStart"/>
      <w:r>
        <w:rPr>
          <w:rFonts w:ascii="Calibri" w:hAnsi="Calibri" w:cs="Calibri"/>
          <w:color w:val="000000" w:themeColor="text1"/>
          <w:sz w:val="24"/>
          <w:szCs w:val="24"/>
          <w:lang w:val="id-ID"/>
        </w:rPr>
        <w:t>skrap</w:t>
      </w:r>
      <w:proofErr w:type="spellEnd"/>
      <w:r>
        <w:rPr>
          <w:rFonts w:ascii="Calibri" w:hAnsi="Calibri" w:cs="Calibri"/>
          <w:color w:val="000000" w:themeColor="text1"/>
          <w:sz w:val="24"/>
          <w:szCs w:val="24"/>
          <w:lang w:val="id-ID"/>
        </w:rPr>
        <w:t xml:space="preserve"> logam mulia atau logam berlapis logam mulia (HS: 7112), yakni senilai US$15,4 miliar. </w:t>
      </w:r>
      <w:r w:rsidRPr="00B633AB">
        <w:rPr>
          <w:rFonts w:ascii="Calibri" w:hAnsi="Calibri" w:cs="Calibri"/>
          <w:color w:val="000000" w:themeColor="text1"/>
          <w:sz w:val="24"/>
          <w:szCs w:val="24"/>
          <w:lang w:val="id-ID"/>
        </w:rPr>
        <w:t xml:space="preserve">Sekadar gambaran, </w:t>
      </w:r>
      <w:proofErr w:type="spellStart"/>
      <w:r>
        <w:rPr>
          <w:rFonts w:ascii="Calibri" w:hAnsi="Calibri" w:cs="Calibri"/>
          <w:color w:val="000000" w:themeColor="text1"/>
          <w:sz w:val="24"/>
          <w:szCs w:val="24"/>
          <w:lang w:val="id-ID"/>
        </w:rPr>
        <w:t>Christiantoko</w:t>
      </w:r>
      <w:proofErr w:type="spellEnd"/>
      <w:r>
        <w:rPr>
          <w:rFonts w:ascii="Calibri" w:hAnsi="Calibri" w:cs="Calibri"/>
          <w:color w:val="000000" w:themeColor="text1"/>
          <w:sz w:val="24"/>
          <w:szCs w:val="24"/>
          <w:lang w:val="id-ID"/>
        </w:rPr>
        <w:t xml:space="preserve"> menguraikan, </w:t>
      </w:r>
      <w:r w:rsidRPr="00B633AB">
        <w:rPr>
          <w:rFonts w:ascii="Calibri" w:hAnsi="Calibri" w:cs="Calibri"/>
          <w:color w:val="000000" w:themeColor="text1"/>
          <w:sz w:val="24"/>
          <w:szCs w:val="24"/>
          <w:lang w:val="id-ID"/>
        </w:rPr>
        <w:t>komoditas tersebut  merupakan sisa atau produk buangan dari industri pengolahan atau barang bekas yang mengandung senyawa atau lapisan logam mulia. "Sampah" ini berpotensi diproses kembali untuk mendapat logam mulia, misalnya emas.</w:t>
      </w:r>
    </w:p>
    <w:p w14:paraId="32C615AC" w14:textId="77777777" w:rsidR="000E74CF" w:rsidRPr="000334FC" w:rsidRDefault="000E74CF" w:rsidP="000E74CF">
      <w:pPr>
        <w:spacing w:after="240" w:line="240" w:lineRule="auto"/>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 xml:space="preserve">Komoditas yang mencatat nilai </w:t>
      </w:r>
      <w:proofErr w:type="spellStart"/>
      <w:r w:rsidRPr="005701DC">
        <w:rPr>
          <w:rFonts w:ascii="Calibri" w:hAnsi="Calibri" w:cs="Calibri"/>
          <w:i/>
          <w:iCs/>
          <w:color w:val="000000" w:themeColor="text1"/>
          <w:sz w:val="24"/>
          <w:szCs w:val="24"/>
          <w:lang w:val="id-ID"/>
        </w:rPr>
        <w:t>under</w:t>
      </w:r>
      <w:proofErr w:type="spellEnd"/>
      <w:r w:rsidRPr="005701DC">
        <w:rPr>
          <w:rFonts w:ascii="Calibri" w:hAnsi="Calibri" w:cs="Calibri"/>
          <w:i/>
          <w:iCs/>
          <w:color w:val="000000" w:themeColor="text1"/>
          <w:sz w:val="24"/>
          <w:szCs w:val="24"/>
          <w:lang w:val="id-ID"/>
        </w:rPr>
        <w:t xml:space="preserve"> </w:t>
      </w:r>
      <w:proofErr w:type="spellStart"/>
      <w:r w:rsidRPr="005701DC">
        <w:rPr>
          <w:rFonts w:ascii="Calibri" w:hAnsi="Calibri" w:cs="Calibri"/>
          <w:i/>
          <w:iCs/>
          <w:color w:val="000000" w:themeColor="text1"/>
          <w:sz w:val="24"/>
          <w:szCs w:val="24"/>
          <w:lang w:val="id-ID"/>
        </w:rPr>
        <w:t>invoicing</w:t>
      </w:r>
      <w:proofErr w:type="spellEnd"/>
      <w:r>
        <w:rPr>
          <w:rFonts w:ascii="Calibri" w:hAnsi="Calibri" w:cs="Calibri"/>
          <w:color w:val="000000" w:themeColor="text1"/>
          <w:sz w:val="24"/>
          <w:szCs w:val="24"/>
          <w:lang w:val="id-ID"/>
        </w:rPr>
        <w:t xml:space="preserve"> terbesar kedua dalam satu dekade terakhir adalah minyak bumi (HS: 2710) yang mencapai US$14,9 miliar. Di urutan ketiga, yakni batu bara (HS: 2701) dengan selisih pencatatan ekspor senilai US$12,8 miliar.</w:t>
      </w:r>
    </w:p>
    <w:p w14:paraId="743A2D3D" w14:textId="77777777" w:rsidR="000E74CF" w:rsidRPr="00B633AB" w:rsidRDefault="000E74CF" w:rsidP="000E74CF">
      <w:pPr>
        <w:spacing w:before="240" w:after="240" w:line="240" w:lineRule="auto"/>
        <w:jc w:val="both"/>
        <w:rPr>
          <w:rFonts w:ascii="Calibri" w:hAnsi="Calibri" w:cs="Calibri"/>
          <w:color w:val="000000" w:themeColor="text1"/>
          <w:sz w:val="24"/>
          <w:szCs w:val="24"/>
          <w:lang w:val="id-ID"/>
        </w:rPr>
      </w:pPr>
      <w:proofErr w:type="spellStart"/>
      <w:r w:rsidRPr="00B633AB">
        <w:rPr>
          <w:rFonts w:ascii="Calibri" w:hAnsi="Calibri" w:cs="Calibri"/>
          <w:color w:val="000000" w:themeColor="text1"/>
          <w:sz w:val="24"/>
          <w:szCs w:val="24"/>
        </w:rPr>
        <w:t>Sedangkan</w:t>
      </w:r>
      <w:proofErr w:type="spellEnd"/>
      <w:r w:rsidRPr="00B633AB">
        <w:rPr>
          <w:rFonts w:ascii="Calibri" w:hAnsi="Calibri" w:cs="Calibri"/>
          <w:color w:val="000000" w:themeColor="text1"/>
          <w:sz w:val="24"/>
          <w:szCs w:val="24"/>
        </w:rPr>
        <w:t xml:space="preserve"> </w:t>
      </w:r>
      <w:r w:rsidRPr="00B633AB">
        <w:rPr>
          <w:rFonts w:ascii="Calibri" w:hAnsi="Calibri" w:cs="Calibri"/>
          <w:color w:val="000000" w:themeColor="text1"/>
          <w:sz w:val="24"/>
          <w:szCs w:val="24"/>
          <w:lang w:val="id-ID"/>
        </w:rPr>
        <w:t xml:space="preserve">untuk kasus </w:t>
      </w:r>
      <w:r w:rsidRPr="00B633AB">
        <w:rPr>
          <w:rFonts w:ascii="Calibri" w:hAnsi="Calibri" w:cs="Calibri"/>
          <w:i/>
          <w:iCs/>
          <w:color w:val="000000" w:themeColor="text1"/>
          <w:sz w:val="24"/>
          <w:szCs w:val="24"/>
          <w:lang w:val="id-ID"/>
        </w:rPr>
        <w:t>over</w:t>
      </w:r>
      <w:r>
        <w:rPr>
          <w:rFonts w:ascii="Calibri" w:hAnsi="Calibri" w:cs="Calibri"/>
          <w:i/>
          <w:iCs/>
          <w:color w:val="000000" w:themeColor="text1"/>
          <w:sz w:val="24"/>
          <w:szCs w:val="24"/>
          <w:lang w:val="id-ID"/>
        </w:rPr>
        <w:t xml:space="preserve"> </w:t>
      </w:r>
      <w:proofErr w:type="spellStart"/>
      <w:r w:rsidRPr="00B633AB">
        <w:rPr>
          <w:rFonts w:ascii="Calibri" w:hAnsi="Calibri" w:cs="Calibri"/>
          <w:i/>
          <w:iCs/>
          <w:color w:val="000000" w:themeColor="text1"/>
          <w:sz w:val="24"/>
          <w:szCs w:val="24"/>
          <w:lang w:val="id-ID"/>
        </w:rPr>
        <w:t>pricing</w:t>
      </w:r>
      <w:proofErr w:type="spellEnd"/>
      <w:r w:rsidRPr="00B633AB">
        <w:rPr>
          <w:rFonts w:ascii="Calibri" w:hAnsi="Calibri" w:cs="Calibri"/>
          <w:color w:val="000000" w:themeColor="text1"/>
          <w:sz w:val="24"/>
          <w:szCs w:val="24"/>
          <w:lang w:val="id-ID"/>
        </w:rPr>
        <w:t>, nilai tertinggi dicatatkan oleh ekspor komoditas Indonesia ke Singapura, yaitu mencapai US$24,2 miliar pada periode 2014-2023. Berarti, ada potensi dana gelap yang masuk ke Indonesia sekitar Rp394,2 triliun.</w:t>
      </w:r>
    </w:p>
    <w:p w14:paraId="76E6817B" w14:textId="77777777" w:rsidR="000E74CF" w:rsidRPr="00B633AB" w:rsidRDefault="000E74CF" w:rsidP="000E74CF">
      <w:pPr>
        <w:spacing w:after="240" w:line="240" w:lineRule="auto"/>
        <w:jc w:val="both"/>
        <w:rPr>
          <w:rFonts w:ascii="Calibri" w:hAnsi="Calibri" w:cs="Calibri"/>
          <w:color w:val="000000" w:themeColor="text1"/>
          <w:sz w:val="24"/>
          <w:szCs w:val="24"/>
          <w:lang w:val="id-ID"/>
        </w:rPr>
      </w:pPr>
      <w:r w:rsidRPr="00B633AB">
        <w:rPr>
          <w:rFonts w:ascii="Calibri" w:hAnsi="Calibri" w:cs="Calibri"/>
          <w:color w:val="000000" w:themeColor="text1"/>
          <w:sz w:val="24"/>
          <w:szCs w:val="24"/>
          <w:lang w:val="id-ID"/>
        </w:rPr>
        <w:t xml:space="preserve">Bangladesh dan Malaysia melengkapi tiga besar negara mitra dagang Indonesia yang mencatatkan </w:t>
      </w:r>
      <w:r w:rsidRPr="00B633AB">
        <w:rPr>
          <w:rFonts w:ascii="Calibri" w:hAnsi="Calibri" w:cs="Calibri"/>
          <w:i/>
          <w:iCs/>
          <w:color w:val="000000" w:themeColor="text1"/>
          <w:sz w:val="24"/>
          <w:szCs w:val="24"/>
          <w:lang w:val="id-ID"/>
        </w:rPr>
        <w:t>over</w:t>
      </w:r>
      <w:r>
        <w:rPr>
          <w:rFonts w:ascii="Calibri" w:hAnsi="Calibri" w:cs="Calibri"/>
          <w:i/>
          <w:iCs/>
          <w:color w:val="000000" w:themeColor="text1"/>
          <w:sz w:val="24"/>
          <w:szCs w:val="24"/>
          <w:lang w:val="id-ID"/>
        </w:rPr>
        <w:t xml:space="preserve"> </w:t>
      </w:r>
      <w:proofErr w:type="spellStart"/>
      <w:r w:rsidRPr="00B633AB">
        <w:rPr>
          <w:rFonts w:ascii="Calibri" w:hAnsi="Calibri" w:cs="Calibri"/>
          <w:i/>
          <w:iCs/>
          <w:color w:val="000000" w:themeColor="text1"/>
          <w:sz w:val="24"/>
          <w:szCs w:val="24"/>
          <w:lang w:val="id-ID"/>
        </w:rPr>
        <w:t>invoicing</w:t>
      </w:r>
      <w:proofErr w:type="spellEnd"/>
      <w:r w:rsidRPr="00B633AB">
        <w:rPr>
          <w:rFonts w:ascii="Calibri" w:hAnsi="Calibri" w:cs="Calibri"/>
          <w:color w:val="000000" w:themeColor="text1"/>
          <w:sz w:val="24"/>
          <w:szCs w:val="24"/>
          <w:lang w:val="id-ID"/>
        </w:rPr>
        <w:t xml:space="preserve"> tertinggi. Nilai dana siluman dari dua negara tersebut masing-masing mencapai US$20,21 miliar dan US$17,24 miliar. </w:t>
      </w:r>
    </w:p>
    <w:p w14:paraId="0402437F" w14:textId="77777777" w:rsidR="000E74CF" w:rsidRDefault="000E74CF" w:rsidP="000E74CF">
      <w:pPr>
        <w:spacing w:after="240" w:line="240" w:lineRule="auto"/>
        <w:jc w:val="both"/>
        <w:rPr>
          <w:rFonts w:ascii="Calibri" w:hAnsi="Calibri" w:cs="Calibri"/>
          <w:color w:val="000000" w:themeColor="text1"/>
          <w:sz w:val="24"/>
          <w:szCs w:val="24"/>
          <w:lang w:val="id-ID"/>
        </w:rPr>
      </w:pPr>
      <w:r w:rsidRPr="00B633AB">
        <w:rPr>
          <w:rFonts w:ascii="Calibri" w:hAnsi="Calibri" w:cs="Calibri"/>
          <w:color w:val="000000" w:themeColor="text1"/>
          <w:sz w:val="24"/>
          <w:szCs w:val="24"/>
          <w:lang w:val="id-ID"/>
        </w:rPr>
        <w:t xml:space="preserve">Pada periode 10 tahun itu, total </w:t>
      </w:r>
      <w:r w:rsidRPr="00B633AB">
        <w:rPr>
          <w:rFonts w:ascii="Calibri" w:hAnsi="Calibri" w:cs="Calibri"/>
          <w:i/>
          <w:iCs/>
          <w:color w:val="000000" w:themeColor="text1"/>
          <w:sz w:val="24"/>
          <w:szCs w:val="24"/>
          <w:lang w:val="id-ID"/>
        </w:rPr>
        <w:t>over-</w:t>
      </w:r>
      <w:proofErr w:type="spellStart"/>
      <w:r w:rsidRPr="00B633AB">
        <w:rPr>
          <w:rFonts w:ascii="Calibri" w:hAnsi="Calibri" w:cs="Calibri"/>
          <w:i/>
          <w:iCs/>
          <w:color w:val="000000" w:themeColor="text1"/>
          <w:sz w:val="24"/>
          <w:szCs w:val="24"/>
          <w:lang w:val="id-ID"/>
        </w:rPr>
        <w:t>invoicing</w:t>
      </w:r>
      <w:proofErr w:type="spellEnd"/>
      <w:r w:rsidRPr="00B633AB">
        <w:rPr>
          <w:rFonts w:ascii="Calibri" w:hAnsi="Calibri" w:cs="Calibri"/>
          <w:color w:val="000000" w:themeColor="text1"/>
          <w:sz w:val="24"/>
          <w:szCs w:val="24"/>
          <w:lang w:val="id-ID"/>
        </w:rPr>
        <w:t xml:space="preserve"> ekspor Indonesia tercatat US$252,87 miliar, atau Rp4.117,5 triliun. Dengan demikian, senilai itu pula potensi masuknya dana gelap ke Indonesia. </w:t>
      </w:r>
    </w:p>
    <w:p w14:paraId="65E423B2" w14:textId="77777777" w:rsidR="000E74CF" w:rsidRDefault="000E74CF" w:rsidP="000E74CF">
      <w:pPr>
        <w:spacing w:after="240" w:line="240" w:lineRule="auto"/>
        <w:jc w:val="both"/>
        <w:rPr>
          <w:rFonts w:ascii="Calibri" w:hAnsi="Calibri" w:cs="Calibri"/>
          <w:color w:val="000000" w:themeColor="text1"/>
          <w:sz w:val="24"/>
          <w:szCs w:val="24"/>
          <w:lang w:val="id-ID"/>
        </w:rPr>
      </w:pPr>
      <w:r>
        <w:rPr>
          <w:rFonts w:ascii="Calibri" w:hAnsi="Calibri" w:cs="Calibri"/>
          <w:color w:val="000000" w:themeColor="text1"/>
          <w:sz w:val="24"/>
          <w:szCs w:val="24"/>
          <w:lang w:val="id-ID"/>
        </w:rPr>
        <w:t>“M</w:t>
      </w:r>
      <w:r w:rsidRPr="00B633AB">
        <w:rPr>
          <w:rFonts w:ascii="Calibri" w:hAnsi="Calibri" w:cs="Calibri"/>
          <w:color w:val="000000" w:themeColor="text1"/>
          <w:sz w:val="24"/>
          <w:szCs w:val="24"/>
          <w:lang w:val="id-ID"/>
        </w:rPr>
        <w:t xml:space="preserve">ungkin uang tersebut </w:t>
      </w:r>
      <w:r>
        <w:rPr>
          <w:rFonts w:ascii="Calibri" w:hAnsi="Calibri" w:cs="Calibri"/>
          <w:color w:val="000000" w:themeColor="text1"/>
          <w:sz w:val="24"/>
          <w:szCs w:val="24"/>
          <w:lang w:val="id-ID"/>
        </w:rPr>
        <w:t xml:space="preserve">saat ini </w:t>
      </w:r>
      <w:r w:rsidRPr="00B633AB">
        <w:rPr>
          <w:rFonts w:ascii="Calibri" w:hAnsi="Calibri" w:cs="Calibri"/>
          <w:color w:val="000000" w:themeColor="text1"/>
          <w:sz w:val="24"/>
          <w:szCs w:val="24"/>
          <w:lang w:val="id-ID"/>
        </w:rPr>
        <w:t>sudah dianggap halal</w:t>
      </w:r>
      <w:r>
        <w:rPr>
          <w:rFonts w:ascii="Calibri" w:hAnsi="Calibri" w:cs="Calibri"/>
          <w:color w:val="000000" w:themeColor="text1"/>
          <w:sz w:val="24"/>
          <w:szCs w:val="24"/>
          <w:lang w:val="id-ID"/>
        </w:rPr>
        <w:t>,</w:t>
      </w:r>
      <w:r w:rsidRPr="00B633AB">
        <w:rPr>
          <w:rFonts w:ascii="Calibri" w:hAnsi="Calibri" w:cs="Calibri"/>
          <w:color w:val="000000" w:themeColor="text1"/>
          <w:sz w:val="24"/>
          <w:szCs w:val="24"/>
          <w:lang w:val="id-ID"/>
        </w:rPr>
        <w:t xml:space="preserve"> karena dapat didalilkan sebagai aliran dana dari hasil perdagangan</w:t>
      </w:r>
      <w:r>
        <w:rPr>
          <w:rFonts w:ascii="Calibri" w:hAnsi="Calibri" w:cs="Calibri"/>
          <w:color w:val="000000" w:themeColor="text1"/>
          <w:sz w:val="24"/>
          <w:szCs w:val="24"/>
          <w:lang w:val="id-ID"/>
        </w:rPr>
        <w:t xml:space="preserve">. Padahal, kegiatan ekspornya </w:t>
      </w:r>
      <w:r w:rsidRPr="00B633AB">
        <w:rPr>
          <w:rFonts w:ascii="Calibri" w:hAnsi="Calibri" w:cs="Calibri"/>
          <w:color w:val="000000" w:themeColor="text1"/>
          <w:sz w:val="24"/>
          <w:szCs w:val="24"/>
          <w:lang w:val="id-ID"/>
        </w:rPr>
        <w:t>sambil memanipulasi faktur</w:t>
      </w:r>
      <w:r>
        <w:rPr>
          <w:rFonts w:ascii="Calibri" w:hAnsi="Calibri" w:cs="Calibri"/>
          <w:color w:val="000000" w:themeColor="text1"/>
          <w:sz w:val="24"/>
          <w:szCs w:val="24"/>
          <w:lang w:val="id-ID"/>
        </w:rPr>
        <w:t xml:space="preserve">,” kata </w:t>
      </w:r>
      <w:proofErr w:type="spellStart"/>
      <w:r>
        <w:rPr>
          <w:rFonts w:ascii="Calibri" w:hAnsi="Calibri" w:cs="Calibri"/>
          <w:color w:val="000000" w:themeColor="text1"/>
          <w:sz w:val="24"/>
          <w:szCs w:val="24"/>
          <w:lang w:val="id-ID"/>
        </w:rPr>
        <w:t>Christiantoko</w:t>
      </w:r>
      <w:proofErr w:type="spellEnd"/>
      <w:r>
        <w:rPr>
          <w:rFonts w:ascii="Calibri" w:hAnsi="Calibri" w:cs="Calibri"/>
          <w:color w:val="000000" w:themeColor="text1"/>
          <w:sz w:val="24"/>
          <w:szCs w:val="24"/>
          <w:lang w:val="id-ID"/>
        </w:rPr>
        <w:t>, mengingatkan</w:t>
      </w:r>
      <w:r w:rsidRPr="00B633AB">
        <w:rPr>
          <w:rFonts w:ascii="Calibri" w:hAnsi="Calibri" w:cs="Calibri"/>
          <w:color w:val="000000" w:themeColor="text1"/>
          <w:sz w:val="24"/>
          <w:szCs w:val="24"/>
          <w:lang w:val="id-ID"/>
        </w:rPr>
        <w:t>.</w:t>
      </w:r>
    </w:p>
    <w:p w14:paraId="7C3A4538" w14:textId="77777777" w:rsidR="000E74CF" w:rsidRDefault="000E74CF" w:rsidP="000E74CF">
      <w:pPr>
        <w:rPr>
          <w:rFonts w:ascii="Calibri" w:hAnsi="Calibri" w:cs="Calibri"/>
          <w:color w:val="000000" w:themeColor="text1"/>
          <w:sz w:val="24"/>
          <w:szCs w:val="24"/>
          <w:lang w:val="id-ID"/>
        </w:rPr>
      </w:pPr>
      <w:r>
        <w:rPr>
          <w:rFonts w:ascii="Calibri" w:hAnsi="Calibri" w:cs="Calibri"/>
          <w:color w:val="000000" w:themeColor="text1"/>
          <w:sz w:val="24"/>
          <w:szCs w:val="24"/>
          <w:lang w:val="id-ID"/>
        </w:rPr>
        <w:br w:type="page"/>
      </w:r>
    </w:p>
    <w:p w14:paraId="627E6236" w14:textId="50832694" w:rsidR="000E74CF" w:rsidRDefault="000E74CF" w:rsidP="000E74CF">
      <w:pPr>
        <w:spacing w:before="240" w:after="240" w:line="240" w:lineRule="auto"/>
        <w:jc w:val="both"/>
        <w:rPr>
          <w:rFonts w:ascii="Calibri" w:eastAsia="Roboto Serif" w:hAnsi="Calibri" w:cs="Calibri"/>
          <w:b/>
          <w:bCs/>
          <w:color w:val="424242"/>
          <w:sz w:val="24"/>
          <w:szCs w:val="24"/>
          <w:u w:val="single"/>
        </w:rPr>
      </w:pPr>
      <w:r w:rsidRPr="005701DC">
        <w:rPr>
          <w:rFonts w:ascii="Calibri" w:eastAsia="Roboto Serif" w:hAnsi="Calibri" w:cs="Calibri"/>
          <w:b/>
          <w:bCs/>
          <w:color w:val="424242"/>
          <w:sz w:val="24"/>
          <w:szCs w:val="24"/>
          <w:u w:val="single"/>
        </w:rPr>
        <w:lastRenderedPageBreak/>
        <w:t>LAMPIRAN</w:t>
      </w:r>
    </w:p>
    <w:p w14:paraId="526BD262" w14:textId="77777777" w:rsidR="000E74CF" w:rsidRPr="005701DC" w:rsidRDefault="000E74CF" w:rsidP="000E74CF">
      <w:pPr>
        <w:spacing w:before="240" w:after="240" w:line="240" w:lineRule="auto"/>
        <w:jc w:val="both"/>
        <w:rPr>
          <w:rFonts w:ascii="Calibri" w:eastAsia="Roboto Serif" w:hAnsi="Calibri" w:cs="Calibri"/>
          <w:b/>
          <w:bCs/>
          <w:color w:val="424242"/>
          <w:sz w:val="24"/>
          <w:szCs w:val="24"/>
          <w:u w:val="single"/>
        </w:rPr>
      </w:pPr>
    </w:p>
    <w:p w14:paraId="54675BE0" w14:textId="77777777" w:rsidR="000E74CF" w:rsidRDefault="000E74CF" w:rsidP="000E74CF">
      <w:pPr>
        <w:spacing w:line="240" w:lineRule="auto"/>
        <w:jc w:val="both"/>
        <w:rPr>
          <w:rFonts w:ascii="Calibri" w:hAnsi="Calibri" w:cs="Calibri"/>
          <w:sz w:val="24"/>
          <w:szCs w:val="24"/>
        </w:rPr>
      </w:pPr>
    </w:p>
    <w:p w14:paraId="1C3C7CEA" w14:textId="77777777" w:rsidR="000E74CF" w:rsidRPr="005701DC" w:rsidRDefault="000E74CF" w:rsidP="000E74CF">
      <w:pPr>
        <w:spacing w:line="240" w:lineRule="auto"/>
        <w:jc w:val="center"/>
        <w:rPr>
          <w:rFonts w:ascii="Calibri" w:hAnsi="Calibri" w:cs="Calibri"/>
          <w:b/>
          <w:bCs/>
          <w:sz w:val="24"/>
          <w:szCs w:val="24"/>
          <w:lang w:val="id-ID"/>
        </w:rPr>
      </w:pPr>
      <w:r w:rsidRPr="005701DC">
        <w:rPr>
          <w:rFonts w:ascii="Calibri" w:hAnsi="Calibri" w:cs="Calibri"/>
          <w:b/>
          <w:bCs/>
          <w:sz w:val="24"/>
          <w:szCs w:val="24"/>
          <w:lang w:val="id-ID"/>
        </w:rPr>
        <w:t xml:space="preserve">10 Negara Mitra Dagang Indonesia </w:t>
      </w:r>
    </w:p>
    <w:p w14:paraId="5790DCFF" w14:textId="77777777" w:rsidR="000E74CF" w:rsidRPr="005701DC" w:rsidRDefault="000E74CF" w:rsidP="000E74CF">
      <w:pPr>
        <w:spacing w:line="240" w:lineRule="auto"/>
        <w:jc w:val="center"/>
        <w:rPr>
          <w:rFonts w:ascii="Calibri" w:hAnsi="Calibri" w:cs="Calibri"/>
          <w:b/>
          <w:bCs/>
          <w:sz w:val="24"/>
          <w:szCs w:val="24"/>
          <w:lang w:val="id-ID"/>
        </w:rPr>
      </w:pPr>
      <w:r w:rsidRPr="005701DC">
        <w:rPr>
          <w:rFonts w:ascii="Calibri" w:hAnsi="Calibri" w:cs="Calibri"/>
          <w:b/>
          <w:bCs/>
          <w:sz w:val="24"/>
          <w:szCs w:val="24"/>
          <w:lang w:val="id-ID"/>
        </w:rPr>
        <w:t xml:space="preserve">dengan </w:t>
      </w:r>
      <w:proofErr w:type="spellStart"/>
      <w:r w:rsidRPr="005701DC">
        <w:rPr>
          <w:rFonts w:ascii="Calibri" w:hAnsi="Calibri" w:cs="Calibri"/>
          <w:b/>
          <w:bCs/>
          <w:i/>
          <w:iCs/>
          <w:sz w:val="24"/>
          <w:szCs w:val="24"/>
          <w:lang w:val="id-ID"/>
        </w:rPr>
        <w:t>Under</w:t>
      </w:r>
      <w:proofErr w:type="spellEnd"/>
      <w:r w:rsidRPr="005701DC">
        <w:rPr>
          <w:rFonts w:ascii="Calibri" w:hAnsi="Calibri" w:cs="Calibri"/>
          <w:b/>
          <w:bCs/>
          <w:i/>
          <w:iCs/>
          <w:sz w:val="24"/>
          <w:szCs w:val="24"/>
          <w:lang w:val="id-ID"/>
        </w:rPr>
        <w:t xml:space="preserve"> </w:t>
      </w:r>
      <w:proofErr w:type="spellStart"/>
      <w:r w:rsidRPr="005701DC">
        <w:rPr>
          <w:rFonts w:ascii="Calibri" w:hAnsi="Calibri" w:cs="Calibri"/>
          <w:b/>
          <w:bCs/>
          <w:i/>
          <w:iCs/>
          <w:sz w:val="24"/>
          <w:szCs w:val="24"/>
          <w:lang w:val="id-ID"/>
        </w:rPr>
        <w:t>Invoicing</w:t>
      </w:r>
      <w:proofErr w:type="spellEnd"/>
      <w:r w:rsidRPr="005701DC">
        <w:rPr>
          <w:rFonts w:ascii="Calibri" w:hAnsi="Calibri" w:cs="Calibri"/>
          <w:b/>
          <w:bCs/>
          <w:sz w:val="24"/>
          <w:szCs w:val="24"/>
          <w:lang w:val="id-ID"/>
        </w:rPr>
        <w:t xml:space="preserve"> Tertinggi</w:t>
      </w:r>
    </w:p>
    <w:p w14:paraId="6B7B011E" w14:textId="77777777" w:rsidR="000E74CF" w:rsidRPr="00D72D25" w:rsidRDefault="000E74CF" w:rsidP="000E74CF">
      <w:pPr>
        <w:spacing w:line="240" w:lineRule="auto"/>
        <w:jc w:val="center"/>
        <w:rPr>
          <w:rFonts w:ascii="Calibri" w:hAnsi="Calibri" w:cs="Calibri"/>
          <w:b/>
          <w:bCs/>
          <w:lang w:val="id-ID"/>
        </w:rPr>
      </w:pPr>
    </w:p>
    <w:tbl>
      <w:tblPr>
        <w:tblStyle w:val="TableGrid"/>
        <w:tblW w:w="7762" w:type="dxa"/>
        <w:tblInd w:w="988" w:type="dxa"/>
        <w:tblLook w:val="04A0" w:firstRow="1" w:lastRow="0" w:firstColumn="1" w:lastColumn="0" w:noHBand="0" w:noVBand="1"/>
      </w:tblPr>
      <w:tblGrid>
        <w:gridCol w:w="2693"/>
        <w:gridCol w:w="2551"/>
        <w:gridCol w:w="2518"/>
      </w:tblGrid>
      <w:tr w:rsidR="000E74CF" w:rsidRPr="00312416" w14:paraId="26EE2D85" w14:textId="77777777" w:rsidTr="008B7B5C">
        <w:trPr>
          <w:trHeight w:val="300"/>
        </w:trPr>
        <w:tc>
          <w:tcPr>
            <w:tcW w:w="2693" w:type="dxa"/>
            <w:noWrap/>
            <w:vAlign w:val="center"/>
            <w:hideMark/>
          </w:tcPr>
          <w:p w14:paraId="68E6DDF9" w14:textId="77777777" w:rsidR="000E74CF" w:rsidRPr="00312416" w:rsidRDefault="000E74CF" w:rsidP="008B7B5C">
            <w:pPr>
              <w:jc w:val="center"/>
              <w:rPr>
                <w:rFonts w:ascii="Calibri" w:hAnsi="Calibri" w:cs="Calibri"/>
                <w:b/>
                <w:bCs/>
                <w:lang w:val="id-ID"/>
              </w:rPr>
            </w:pPr>
            <w:r w:rsidRPr="00312416">
              <w:rPr>
                <w:rFonts w:ascii="Calibri" w:hAnsi="Calibri" w:cs="Calibri"/>
                <w:b/>
                <w:bCs/>
                <w:lang w:val="id-ID"/>
              </w:rPr>
              <w:t>Negara</w:t>
            </w:r>
          </w:p>
        </w:tc>
        <w:tc>
          <w:tcPr>
            <w:tcW w:w="2551" w:type="dxa"/>
            <w:noWrap/>
            <w:vAlign w:val="center"/>
            <w:hideMark/>
          </w:tcPr>
          <w:p w14:paraId="7BDE7FE1" w14:textId="77777777" w:rsidR="000E74CF" w:rsidRPr="00312416" w:rsidRDefault="000E74CF" w:rsidP="008B7B5C">
            <w:pPr>
              <w:jc w:val="center"/>
              <w:rPr>
                <w:rFonts w:ascii="Calibri" w:hAnsi="Calibri" w:cs="Calibri"/>
                <w:b/>
                <w:bCs/>
                <w:i/>
                <w:iCs/>
                <w:lang w:val="id-ID"/>
              </w:rPr>
            </w:pPr>
            <w:r w:rsidRPr="00312416">
              <w:rPr>
                <w:rFonts w:ascii="Calibri" w:hAnsi="Calibri" w:cs="Calibri"/>
                <w:b/>
                <w:bCs/>
                <w:lang w:val="id-ID"/>
              </w:rPr>
              <w:t xml:space="preserve">Nilai </w:t>
            </w:r>
            <w:proofErr w:type="spellStart"/>
            <w:r w:rsidRPr="00D72D25">
              <w:rPr>
                <w:rFonts w:ascii="Calibri" w:hAnsi="Calibri" w:cs="Calibri"/>
                <w:b/>
                <w:bCs/>
                <w:i/>
                <w:iCs/>
                <w:lang w:val="id-ID"/>
              </w:rPr>
              <w:t>Under</w:t>
            </w:r>
            <w:r>
              <w:rPr>
                <w:rFonts w:ascii="Calibri" w:hAnsi="Calibri" w:cs="Calibri"/>
                <w:b/>
                <w:bCs/>
                <w:i/>
                <w:iCs/>
                <w:lang w:val="id-ID"/>
              </w:rPr>
              <w:t>-</w:t>
            </w:r>
            <w:r w:rsidRPr="00D72D25">
              <w:rPr>
                <w:rFonts w:ascii="Calibri" w:hAnsi="Calibri" w:cs="Calibri"/>
                <w:b/>
                <w:bCs/>
                <w:i/>
                <w:iCs/>
                <w:lang w:val="id-ID"/>
              </w:rPr>
              <w:t>Invoicing</w:t>
            </w:r>
            <w:proofErr w:type="spellEnd"/>
          </w:p>
          <w:p w14:paraId="21DCE68F" w14:textId="77777777" w:rsidR="000E74CF" w:rsidRPr="00312416" w:rsidRDefault="000E74CF" w:rsidP="008B7B5C">
            <w:pPr>
              <w:jc w:val="center"/>
              <w:rPr>
                <w:rFonts w:ascii="Calibri" w:hAnsi="Calibri" w:cs="Calibri"/>
                <w:b/>
                <w:bCs/>
                <w:lang w:val="id-ID"/>
              </w:rPr>
            </w:pPr>
            <w:r w:rsidRPr="00312416">
              <w:rPr>
                <w:rFonts w:ascii="Calibri" w:hAnsi="Calibri" w:cs="Calibri"/>
                <w:b/>
                <w:bCs/>
                <w:lang w:val="id-ID"/>
              </w:rPr>
              <w:t>(US$ Miliar)</w:t>
            </w:r>
          </w:p>
        </w:tc>
        <w:tc>
          <w:tcPr>
            <w:tcW w:w="2518" w:type="dxa"/>
            <w:noWrap/>
            <w:vAlign w:val="center"/>
            <w:hideMark/>
          </w:tcPr>
          <w:p w14:paraId="3285AD54" w14:textId="77777777" w:rsidR="000E74CF" w:rsidRDefault="000E74CF" w:rsidP="008B7B5C">
            <w:pPr>
              <w:jc w:val="center"/>
              <w:rPr>
                <w:rFonts w:ascii="Calibri" w:hAnsi="Calibri" w:cs="Calibri"/>
                <w:b/>
                <w:bCs/>
                <w:i/>
                <w:iCs/>
                <w:lang w:val="id-ID"/>
              </w:rPr>
            </w:pPr>
            <w:r w:rsidRPr="00312416">
              <w:rPr>
                <w:rFonts w:ascii="Calibri" w:hAnsi="Calibri" w:cs="Calibri"/>
                <w:b/>
                <w:bCs/>
                <w:lang w:val="id-ID"/>
              </w:rPr>
              <w:t>Porsi</w:t>
            </w:r>
            <w:r w:rsidRPr="00312416">
              <w:rPr>
                <w:rFonts w:ascii="Calibri" w:hAnsi="Calibri" w:cs="Calibri"/>
                <w:b/>
                <w:bCs/>
                <w:i/>
                <w:iCs/>
                <w:lang w:val="id-ID"/>
              </w:rPr>
              <w:t xml:space="preserve"> </w:t>
            </w:r>
            <w:proofErr w:type="spellStart"/>
            <w:r w:rsidRPr="00D72D25">
              <w:rPr>
                <w:rFonts w:ascii="Calibri" w:hAnsi="Calibri" w:cs="Calibri"/>
                <w:b/>
                <w:bCs/>
                <w:i/>
                <w:iCs/>
                <w:lang w:val="id-ID"/>
              </w:rPr>
              <w:t>Under</w:t>
            </w:r>
            <w:proofErr w:type="spellEnd"/>
            <w:r>
              <w:rPr>
                <w:rFonts w:ascii="Calibri" w:hAnsi="Calibri" w:cs="Calibri"/>
                <w:b/>
                <w:bCs/>
                <w:i/>
                <w:iCs/>
                <w:lang w:val="id-ID"/>
              </w:rPr>
              <w:t xml:space="preserve"> </w:t>
            </w:r>
            <w:proofErr w:type="spellStart"/>
            <w:r w:rsidRPr="00D72D25">
              <w:rPr>
                <w:rFonts w:ascii="Calibri" w:hAnsi="Calibri" w:cs="Calibri"/>
                <w:b/>
                <w:bCs/>
                <w:i/>
                <w:iCs/>
                <w:lang w:val="id-ID"/>
              </w:rPr>
              <w:t>Invoicing</w:t>
            </w:r>
            <w:proofErr w:type="spellEnd"/>
          </w:p>
          <w:p w14:paraId="4D573DE4" w14:textId="77777777" w:rsidR="000E74CF" w:rsidRPr="00312416" w:rsidRDefault="000E74CF" w:rsidP="008B7B5C">
            <w:pPr>
              <w:jc w:val="center"/>
              <w:rPr>
                <w:rFonts w:ascii="Calibri" w:hAnsi="Calibri" w:cs="Calibri"/>
                <w:b/>
                <w:bCs/>
                <w:lang w:val="id-ID"/>
              </w:rPr>
            </w:pPr>
            <w:r w:rsidRPr="00312416">
              <w:rPr>
                <w:rFonts w:ascii="Calibri" w:hAnsi="Calibri" w:cs="Calibri"/>
                <w:b/>
                <w:bCs/>
                <w:lang w:val="id-ID"/>
              </w:rPr>
              <w:t xml:space="preserve"> (%)</w:t>
            </w:r>
          </w:p>
        </w:tc>
      </w:tr>
      <w:tr w:rsidR="000E74CF" w:rsidRPr="00312416" w14:paraId="42C5B591" w14:textId="77777777" w:rsidTr="008B7B5C">
        <w:trPr>
          <w:trHeight w:val="300"/>
        </w:trPr>
        <w:tc>
          <w:tcPr>
            <w:tcW w:w="2693" w:type="dxa"/>
            <w:noWrap/>
            <w:hideMark/>
          </w:tcPr>
          <w:p w14:paraId="1A550B0E" w14:textId="77777777" w:rsidR="000E74CF" w:rsidRPr="00312416" w:rsidRDefault="000E74CF" w:rsidP="008B7B5C">
            <w:pPr>
              <w:jc w:val="both"/>
              <w:rPr>
                <w:rFonts w:ascii="Calibri" w:hAnsi="Calibri" w:cs="Calibri"/>
                <w:lang w:val="id-ID"/>
              </w:rPr>
            </w:pPr>
            <w:r w:rsidRPr="00312416">
              <w:rPr>
                <w:rFonts w:ascii="Calibri" w:hAnsi="Calibri" w:cs="Calibri"/>
                <w:lang w:val="id-ID"/>
              </w:rPr>
              <w:t>Tiongkok</w:t>
            </w:r>
          </w:p>
        </w:tc>
        <w:tc>
          <w:tcPr>
            <w:tcW w:w="2551" w:type="dxa"/>
            <w:noWrap/>
            <w:vAlign w:val="center"/>
            <w:hideMark/>
          </w:tcPr>
          <w:p w14:paraId="4B95D35B" w14:textId="77777777" w:rsidR="000E74CF" w:rsidRPr="00312416" w:rsidRDefault="000E74CF" w:rsidP="008B7B5C">
            <w:pPr>
              <w:jc w:val="right"/>
              <w:rPr>
                <w:rFonts w:ascii="Calibri" w:hAnsi="Calibri" w:cs="Calibri"/>
                <w:lang w:val="id-ID"/>
              </w:rPr>
            </w:pPr>
            <w:r w:rsidRPr="00312416">
              <w:rPr>
                <w:rFonts w:ascii="Calibri" w:hAnsi="Calibri" w:cs="Calibri"/>
                <w:lang w:val="id-ID"/>
              </w:rPr>
              <w:t>53,0</w:t>
            </w:r>
          </w:p>
        </w:tc>
        <w:tc>
          <w:tcPr>
            <w:tcW w:w="2518" w:type="dxa"/>
            <w:noWrap/>
            <w:vAlign w:val="center"/>
            <w:hideMark/>
          </w:tcPr>
          <w:p w14:paraId="4DDA1789" w14:textId="77777777" w:rsidR="000E74CF" w:rsidRPr="00312416" w:rsidRDefault="000E74CF" w:rsidP="008B7B5C">
            <w:pPr>
              <w:jc w:val="right"/>
              <w:rPr>
                <w:rFonts w:ascii="Calibri" w:hAnsi="Calibri" w:cs="Calibri"/>
                <w:lang w:val="id-ID"/>
              </w:rPr>
            </w:pPr>
            <w:r>
              <w:rPr>
                <w:rFonts w:ascii="Calibri" w:hAnsi="Calibri" w:cs="Calibri"/>
                <w:color w:val="000000"/>
              </w:rPr>
              <w:t>13,19</w:t>
            </w:r>
          </w:p>
        </w:tc>
      </w:tr>
      <w:tr w:rsidR="000E74CF" w:rsidRPr="00312416" w14:paraId="4516F95F" w14:textId="77777777" w:rsidTr="008B7B5C">
        <w:trPr>
          <w:trHeight w:val="300"/>
        </w:trPr>
        <w:tc>
          <w:tcPr>
            <w:tcW w:w="2693" w:type="dxa"/>
            <w:noWrap/>
            <w:hideMark/>
          </w:tcPr>
          <w:p w14:paraId="35D34A80" w14:textId="77777777" w:rsidR="000E74CF" w:rsidRPr="00312416" w:rsidRDefault="000E74CF" w:rsidP="008B7B5C">
            <w:pPr>
              <w:jc w:val="both"/>
              <w:rPr>
                <w:rFonts w:ascii="Calibri" w:hAnsi="Calibri" w:cs="Calibri"/>
                <w:lang w:val="id-ID"/>
              </w:rPr>
            </w:pPr>
            <w:r w:rsidRPr="00312416">
              <w:rPr>
                <w:rFonts w:ascii="Calibri" w:hAnsi="Calibri" w:cs="Calibri"/>
                <w:lang w:val="id-ID"/>
              </w:rPr>
              <w:t>Singapura</w:t>
            </w:r>
          </w:p>
        </w:tc>
        <w:tc>
          <w:tcPr>
            <w:tcW w:w="2551" w:type="dxa"/>
            <w:noWrap/>
            <w:vAlign w:val="center"/>
            <w:hideMark/>
          </w:tcPr>
          <w:p w14:paraId="05DDEDA4" w14:textId="77777777" w:rsidR="000E74CF" w:rsidRPr="00312416" w:rsidRDefault="000E74CF" w:rsidP="008B7B5C">
            <w:pPr>
              <w:jc w:val="right"/>
              <w:rPr>
                <w:rFonts w:ascii="Calibri" w:hAnsi="Calibri" w:cs="Calibri"/>
                <w:lang w:val="id-ID"/>
              </w:rPr>
            </w:pPr>
            <w:r w:rsidRPr="00312416">
              <w:rPr>
                <w:rFonts w:ascii="Calibri" w:hAnsi="Calibri" w:cs="Calibri"/>
                <w:lang w:val="id-ID"/>
              </w:rPr>
              <w:t>46,4</w:t>
            </w:r>
          </w:p>
        </w:tc>
        <w:tc>
          <w:tcPr>
            <w:tcW w:w="2518" w:type="dxa"/>
            <w:noWrap/>
            <w:vAlign w:val="center"/>
            <w:hideMark/>
          </w:tcPr>
          <w:p w14:paraId="2DF25797" w14:textId="77777777" w:rsidR="000E74CF" w:rsidRPr="00312416" w:rsidRDefault="000E74CF" w:rsidP="008B7B5C">
            <w:pPr>
              <w:jc w:val="right"/>
              <w:rPr>
                <w:rFonts w:ascii="Calibri" w:hAnsi="Calibri" w:cs="Calibri"/>
                <w:lang w:val="id-ID"/>
              </w:rPr>
            </w:pPr>
            <w:r>
              <w:rPr>
                <w:rFonts w:ascii="Calibri" w:hAnsi="Calibri" w:cs="Calibri"/>
                <w:color w:val="000000"/>
              </w:rPr>
              <w:t>11,54</w:t>
            </w:r>
          </w:p>
        </w:tc>
      </w:tr>
      <w:tr w:rsidR="000E74CF" w:rsidRPr="00312416" w14:paraId="47A9A1B0" w14:textId="77777777" w:rsidTr="008B7B5C">
        <w:trPr>
          <w:trHeight w:val="300"/>
        </w:trPr>
        <w:tc>
          <w:tcPr>
            <w:tcW w:w="2693" w:type="dxa"/>
            <w:noWrap/>
            <w:hideMark/>
          </w:tcPr>
          <w:p w14:paraId="1D699039" w14:textId="77777777" w:rsidR="000E74CF" w:rsidRPr="00312416" w:rsidRDefault="000E74CF" w:rsidP="008B7B5C">
            <w:pPr>
              <w:jc w:val="both"/>
              <w:rPr>
                <w:rFonts w:ascii="Calibri" w:hAnsi="Calibri" w:cs="Calibri"/>
                <w:lang w:val="id-ID"/>
              </w:rPr>
            </w:pPr>
            <w:r w:rsidRPr="00312416">
              <w:rPr>
                <w:rFonts w:ascii="Calibri" w:hAnsi="Calibri" w:cs="Calibri"/>
                <w:lang w:val="id-ID"/>
              </w:rPr>
              <w:t>Amerika Serikat</w:t>
            </w:r>
          </w:p>
        </w:tc>
        <w:tc>
          <w:tcPr>
            <w:tcW w:w="2551" w:type="dxa"/>
            <w:noWrap/>
            <w:vAlign w:val="center"/>
            <w:hideMark/>
          </w:tcPr>
          <w:p w14:paraId="75CEA4F5" w14:textId="77777777" w:rsidR="000E74CF" w:rsidRPr="00312416" w:rsidRDefault="000E74CF" w:rsidP="008B7B5C">
            <w:pPr>
              <w:jc w:val="right"/>
              <w:rPr>
                <w:rFonts w:ascii="Calibri" w:hAnsi="Calibri" w:cs="Calibri"/>
                <w:lang w:val="id-ID"/>
              </w:rPr>
            </w:pPr>
            <w:r w:rsidRPr="00312416">
              <w:rPr>
                <w:rFonts w:ascii="Calibri" w:hAnsi="Calibri" w:cs="Calibri"/>
                <w:lang w:val="id-ID"/>
              </w:rPr>
              <w:t>32,7</w:t>
            </w:r>
          </w:p>
        </w:tc>
        <w:tc>
          <w:tcPr>
            <w:tcW w:w="2518" w:type="dxa"/>
            <w:noWrap/>
            <w:vAlign w:val="center"/>
            <w:hideMark/>
          </w:tcPr>
          <w:p w14:paraId="139B4B6F" w14:textId="77777777" w:rsidR="000E74CF" w:rsidRPr="00312416" w:rsidRDefault="000E74CF" w:rsidP="008B7B5C">
            <w:pPr>
              <w:jc w:val="right"/>
              <w:rPr>
                <w:rFonts w:ascii="Calibri" w:hAnsi="Calibri" w:cs="Calibri"/>
                <w:lang w:val="id-ID"/>
              </w:rPr>
            </w:pPr>
            <w:r>
              <w:rPr>
                <w:rFonts w:ascii="Calibri" w:hAnsi="Calibri" w:cs="Calibri"/>
                <w:color w:val="000000"/>
              </w:rPr>
              <w:t>8,13</w:t>
            </w:r>
          </w:p>
        </w:tc>
      </w:tr>
      <w:tr w:rsidR="000E74CF" w:rsidRPr="00312416" w14:paraId="08D5F888" w14:textId="77777777" w:rsidTr="008B7B5C">
        <w:trPr>
          <w:trHeight w:val="300"/>
        </w:trPr>
        <w:tc>
          <w:tcPr>
            <w:tcW w:w="2693" w:type="dxa"/>
            <w:noWrap/>
            <w:hideMark/>
          </w:tcPr>
          <w:p w14:paraId="51ACB7E6" w14:textId="77777777" w:rsidR="000E74CF" w:rsidRPr="00312416" w:rsidRDefault="000E74CF" w:rsidP="008B7B5C">
            <w:pPr>
              <w:jc w:val="both"/>
              <w:rPr>
                <w:rFonts w:ascii="Calibri" w:hAnsi="Calibri" w:cs="Calibri"/>
                <w:lang w:val="id-ID"/>
              </w:rPr>
            </w:pPr>
            <w:r w:rsidRPr="00312416">
              <w:rPr>
                <w:rFonts w:ascii="Calibri" w:hAnsi="Calibri" w:cs="Calibri"/>
                <w:lang w:val="id-ID"/>
              </w:rPr>
              <w:t>Jerman</w:t>
            </w:r>
          </w:p>
        </w:tc>
        <w:tc>
          <w:tcPr>
            <w:tcW w:w="2551" w:type="dxa"/>
            <w:noWrap/>
            <w:vAlign w:val="center"/>
            <w:hideMark/>
          </w:tcPr>
          <w:p w14:paraId="6A17E006" w14:textId="77777777" w:rsidR="000E74CF" w:rsidRPr="00312416" w:rsidRDefault="000E74CF" w:rsidP="008B7B5C">
            <w:pPr>
              <w:jc w:val="right"/>
              <w:rPr>
                <w:rFonts w:ascii="Calibri" w:hAnsi="Calibri" w:cs="Calibri"/>
                <w:lang w:val="id-ID"/>
              </w:rPr>
            </w:pPr>
            <w:r w:rsidRPr="00312416">
              <w:rPr>
                <w:rFonts w:ascii="Calibri" w:hAnsi="Calibri" w:cs="Calibri"/>
                <w:lang w:val="id-ID"/>
              </w:rPr>
              <w:t>19,3</w:t>
            </w:r>
          </w:p>
        </w:tc>
        <w:tc>
          <w:tcPr>
            <w:tcW w:w="2518" w:type="dxa"/>
            <w:noWrap/>
            <w:vAlign w:val="center"/>
            <w:hideMark/>
          </w:tcPr>
          <w:p w14:paraId="30FA2E7B" w14:textId="77777777" w:rsidR="000E74CF" w:rsidRPr="00312416" w:rsidRDefault="000E74CF" w:rsidP="008B7B5C">
            <w:pPr>
              <w:jc w:val="right"/>
              <w:rPr>
                <w:rFonts w:ascii="Calibri" w:hAnsi="Calibri" w:cs="Calibri"/>
                <w:lang w:val="id-ID"/>
              </w:rPr>
            </w:pPr>
            <w:r>
              <w:rPr>
                <w:rFonts w:ascii="Calibri" w:hAnsi="Calibri" w:cs="Calibri"/>
                <w:color w:val="000000"/>
              </w:rPr>
              <w:t>4,81</w:t>
            </w:r>
          </w:p>
        </w:tc>
      </w:tr>
      <w:tr w:rsidR="000E74CF" w:rsidRPr="00312416" w14:paraId="01EDB695" w14:textId="77777777" w:rsidTr="008B7B5C">
        <w:trPr>
          <w:trHeight w:val="300"/>
        </w:trPr>
        <w:tc>
          <w:tcPr>
            <w:tcW w:w="2693" w:type="dxa"/>
            <w:noWrap/>
            <w:hideMark/>
          </w:tcPr>
          <w:p w14:paraId="13AC36B3" w14:textId="77777777" w:rsidR="000E74CF" w:rsidRPr="00312416" w:rsidRDefault="000E74CF" w:rsidP="008B7B5C">
            <w:pPr>
              <w:jc w:val="both"/>
              <w:rPr>
                <w:rFonts w:ascii="Calibri" w:hAnsi="Calibri" w:cs="Calibri"/>
                <w:lang w:val="id-ID"/>
              </w:rPr>
            </w:pPr>
            <w:r w:rsidRPr="00312416">
              <w:rPr>
                <w:rFonts w:ascii="Calibri" w:hAnsi="Calibri" w:cs="Calibri"/>
                <w:lang w:val="id-ID"/>
              </w:rPr>
              <w:t>Jepang</w:t>
            </w:r>
          </w:p>
        </w:tc>
        <w:tc>
          <w:tcPr>
            <w:tcW w:w="2551" w:type="dxa"/>
            <w:noWrap/>
            <w:vAlign w:val="center"/>
            <w:hideMark/>
          </w:tcPr>
          <w:p w14:paraId="50BB3AD5" w14:textId="77777777" w:rsidR="000E74CF" w:rsidRPr="00312416" w:rsidRDefault="000E74CF" w:rsidP="008B7B5C">
            <w:pPr>
              <w:jc w:val="right"/>
              <w:rPr>
                <w:rFonts w:ascii="Calibri" w:hAnsi="Calibri" w:cs="Calibri"/>
                <w:lang w:val="id-ID"/>
              </w:rPr>
            </w:pPr>
            <w:r w:rsidRPr="00312416">
              <w:rPr>
                <w:rFonts w:ascii="Calibri" w:hAnsi="Calibri" w:cs="Calibri"/>
                <w:lang w:val="id-ID"/>
              </w:rPr>
              <w:t>18,7</w:t>
            </w:r>
          </w:p>
        </w:tc>
        <w:tc>
          <w:tcPr>
            <w:tcW w:w="2518" w:type="dxa"/>
            <w:noWrap/>
            <w:vAlign w:val="center"/>
            <w:hideMark/>
          </w:tcPr>
          <w:p w14:paraId="39CCD3FF" w14:textId="77777777" w:rsidR="000E74CF" w:rsidRPr="00312416" w:rsidRDefault="000E74CF" w:rsidP="008B7B5C">
            <w:pPr>
              <w:jc w:val="right"/>
              <w:rPr>
                <w:rFonts w:ascii="Calibri" w:hAnsi="Calibri" w:cs="Calibri"/>
                <w:lang w:val="id-ID"/>
              </w:rPr>
            </w:pPr>
            <w:r>
              <w:rPr>
                <w:rFonts w:ascii="Calibri" w:hAnsi="Calibri" w:cs="Calibri"/>
                <w:color w:val="000000"/>
              </w:rPr>
              <w:t>4,66</w:t>
            </w:r>
          </w:p>
        </w:tc>
      </w:tr>
      <w:tr w:rsidR="000E74CF" w:rsidRPr="00312416" w14:paraId="28618F3F" w14:textId="77777777" w:rsidTr="008B7B5C">
        <w:trPr>
          <w:trHeight w:val="300"/>
        </w:trPr>
        <w:tc>
          <w:tcPr>
            <w:tcW w:w="2693" w:type="dxa"/>
            <w:noWrap/>
            <w:hideMark/>
          </w:tcPr>
          <w:p w14:paraId="1782168C" w14:textId="77777777" w:rsidR="000E74CF" w:rsidRPr="00312416" w:rsidRDefault="000E74CF" w:rsidP="008B7B5C">
            <w:pPr>
              <w:jc w:val="both"/>
              <w:rPr>
                <w:rFonts w:ascii="Calibri" w:hAnsi="Calibri" w:cs="Calibri"/>
                <w:lang w:val="id-ID"/>
              </w:rPr>
            </w:pPr>
            <w:r w:rsidRPr="00312416">
              <w:rPr>
                <w:rFonts w:ascii="Calibri" w:hAnsi="Calibri" w:cs="Calibri"/>
                <w:lang w:val="id-ID"/>
              </w:rPr>
              <w:t>India</w:t>
            </w:r>
          </w:p>
        </w:tc>
        <w:tc>
          <w:tcPr>
            <w:tcW w:w="2551" w:type="dxa"/>
            <w:noWrap/>
            <w:vAlign w:val="center"/>
            <w:hideMark/>
          </w:tcPr>
          <w:p w14:paraId="74A7B6F9" w14:textId="77777777" w:rsidR="000E74CF" w:rsidRPr="00312416" w:rsidRDefault="000E74CF" w:rsidP="008B7B5C">
            <w:pPr>
              <w:jc w:val="right"/>
              <w:rPr>
                <w:rFonts w:ascii="Calibri" w:hAnsi="Calibri" w:cs="Calibri"/>
                <w:lang w:val="id-ID"/>
              </w:rPr>
            </w:pPr>
            <w:r w:rsidRPr="00312416">
              <w:rPr>
                <w:rFonts w:ascii="Calibri" w:hAnsi="Calibri" w:cs="Calibri"/>
                <w:lang w:val="id-ID"/>
              </w:rPr>
              <w:t>15,7</w:t>
            </w:r>
          </w:p>
        </w:tc>
        <w:tc>
          <w:tcPr>
            <w:tcW w:w="2518" w:type="dxa"/>
            <w:noWrap/>
            <w:vAlign w:val="center"/>
            <w:hideMark/>
          </w:tcPr>
          <w:p w14:paraId="6123758D" w14:textId="77777777" w:rsidR="000E74CF" w:rsidRPr="00312416" w:rsidRDefault="000E74CF" w:rsidP="008B7B5C">
            <w:pPr>
              <w:jc w:val="right"/>
              <w:rPr>
                <w:rFonts w:ascii="Calibri" w:hAnsi="Calibri" w:cs="Calibri"/>
                <w:lang w:val="id-ID"/>
              </w:rPr>
            </w:pPr>
            <w:r>
              <w:rPr>
                <w:rFonts w:ascii="Calibri" w:hAnsi="Calibri" w:cs="Calibri"/>
                <w:color w:val="000000"/>
              </w:rPr>
              <w:t>3,90</w:t>
            </w:r>
          </w:p>
        </w:tc>
      </w:tr>
      <w:tr w:rsidR="000E74CF" w:rsidRPr="00312416" w14:paraId="7BAC6638" w14:textId="77777777" w:rsidTr="008B7B5C">
        <w:trPr>
          <w:trHeight w:val="300"/>
        </w:trPr>
        <w:tc>
          <w:tcPr>
            <w:tcW w:w="2693" w:type="dxa"/>
            <w:noWrap/>
            <w:hideMark/>
          </w:tcPr>
          <w:p w14:paraId="41C12261" w14:textId="77777777" w:rsidR="000E74CF" w:rsidRPr="00312416" w:rsidRDefault="000E74CF" w:rsidP="008B7B5C">
            <w:pPr>
              <w:jc w:val="both"/>
              <w:rPr>
                <w:rFonts w:ascii="Calibri" w:hAnsi="Calibri" w:cs="Calibri"/>
                <w:lang w:val="id-ID"/>
              </w:rPr>
            </w:pPr>
            <w:r w:rsidRPr="00312416">
              <w:rPr>
                <w:rFonts w:ascii="Calibri" w:hAnsi="Calibri" w:cs="Calibri"/>
                <w:lang w:val="id-ID"/>
              </w:rPr>
              <w:t>Malaysia</w:t>
            </w:r>
          </w:p>
        </w:tc>
        <w:tc>
          <w:tcPr>
            <w:tcW w:w="2551" w:type="dxa"/>
            <w:noWrap/>
            <w:vAlign w:val="center"/>
            <w:hideMark/>
          </w:tcPr>
          <w:p w14:paraId="2950A973" w14:textId="77777777" w:rsidR="000E74CF" w:rsidRPr="00312416" w:rsidRDefault="000E74CF" w:rsidP="008B7B5C">
            <w:pPr>
              <w:jc w:val="right"/>
              <w:rPr>
                <w:rFonts w:ascii="Calibri" w:hAnsi="Calibri" w:cs="Calibri"/>
                <w:lang w:val="id-ID"/>
              </w:rPr>
            </w:pPr>
            <w:r w:rsidRPr="00312416">
              <w:rPr>
                <w:rFonts w:ascii="Calibri" w:hAnsi="Calibri" w:cs="Calibri"/>
                <w:lang w:val="id-ID"/>
              </w:rPr>
              <w:t>15,1</w:t>
            </w:r>
          </w:p>
        </w:tc>
        <w:tc>
          <w:tcPr>
            <w:tcW w:w="2518" w:type="dxa"/>
            <w:noWrap/>
            <w:vAlign w:val="center"/>
            <w:hideMark/>
          </w:tcPr>
          <w:p w14:paraId="16815BD3" w14:textId="77777777" w:rsidR="000E74CF" w:rsidRPr="00312416" w:rsidRDefault="000E74CF" w:rsidP="008B7B5C">
            <w:pPr>
              <w:jc w:val="right"/>
              <w:rPr>
                <w:rFonts w:ascii="Calibri" w:hAnsi="Calibri" w:cs="Calibri"/>
                <w:lang w:val="id-ID"/>
              </w:rPr>
            </w:pPr>
            <w:r>
              <w:rPr>
                <w:rFonts w:ascii="Calibri" w:hAnsi="Calibri" w:cs="Calibri"/>
                <w:color w:val="000000"/>
              </w:rPr>
              <w:t>3,77</w:t>
            </w:r>
          </w:p>
        </w:tc>
      </w:tr>
      <w:tr w:rsidR="000E74CF" w:rsidRPr="00312416" w14:paraId="5F09EA83" w14:textId="77777777" w:rsidTr="008B7B5C">
        <w:trPr>
          <w:trHeight w:val="300"/>
        </w:trPr>
        <w:tc>
          <w:tcPr>
            <w:tcW w:w="2693" w:type="dxa"/>
            <w:noWrap/>
            <w:hideMark/>
          </w:tcPr>
          <w:p w14:paraId="1FDA77DE" w14:textId="77777777" w:rsidR="000E74CF" w:rsidRPr="00312416" w:rsidRDefault="000E74CF" w:rsidP="008B7B5C">
            <w:pPr>
              <w:jc w:val="both"/>
              <w:rPr>
                <w:rFonts w:ascii="Calibri" w:hAnsi="Calibri" w:cs="Calibri"/>
                <w:lang w:val="id-ID"/>
              </w:rPr>
            </w:pPr>
            <w:r w:rsidRPr="00312416">
              <w:rPr>
                <w:rFonts w:ascii="Calibri" w:hAnsi="Calibri" w:cs="Calibri"/>
                <w:lang w:val="id-ID"/>
              </w:rPr>
              <w:t>Swiss</w:t>
            </w:r>
          </w:p>
        </w:tc>
        <w:tc>
          <w:tcPr>
            <w:tcW w:w="2551" w:type="dxa"/>
            <w:noWrap/>
            <w:vAlign w:val="center"/>
            <w:hideMark/>
          </w:tcPr>
          <w:p w14:paraId="1B354D80" w14:textId="77777777" w:rsidR="000E74CF" w:rsidRPr="00312416" w:rsidRDefault="000E74CF" w:rsidP="008B7B5C">
            <w:pPr>
              <w:jc w:val="right"/>
              <w:rPr>
                <w:rFonts w:ascii="Calibri" w:hAnsi="Calibri" w:cs="Calibri"/>
                <w:lang w:val="id-ID"/>
              </w:rPr>
            </w:pPr>
            <w:r w:rsidRPr="00312416">
              <w:rPr>
                <w:rFonts w:ascii="Calibri" w:hAnsi="Calibri" w:cs="Calibri"/>
                <w:lang w:val="id-ID"/>
              </w:rPr>
              <w:t>13,0</w:t>
            </w:r>
          </w:p>
        </w:tc>
        <w:tc>
          <w:tcPr>
            <w:tcW w:w="2518" w:type="dxa"/>
            <w:noWrap/>
            <w:vAlign w:val="center"/>
            <w:hideMark/>
          </w:tcPr>
          <w:p w14:paraId="66EAF6C6" w14:textId="77777777" w:rsidR="000E74CF" w:rsidRPr="00312416" w:rsidRDefault="000E74CF" w:rsidP="008B7B5C">
            <w:pPr>
              <w:jc w:val="right"/>
              <w:rPr>
                <w:rFonts w:ascii="Calibri" w:hAnsi="Calibri" w:cs="Calibri"/>
                <w:lang w:val="id-ID"/>
              </w:rPr>
            </w:pPr>
            <w:r>
              <w:rPr>
                <w:rFonts w:ascii="Calibri" w:hAnsi="Calibri" w:cs="Calibri"/>
                <w:color w:val="000000"/>
              </w:rPr>
              <w:t>3,24</w:t>
            </w:r>
          </w:p>
        </w:tc>
      </w:tr>
      <w:tr w:rsidR="000E74CF" w:rsidRPr="00312416" w14:paraId="59B73CBD" w14:textId="77777777" w:rsidTr="008B7B5C">
        <w:trPr>
          <w:trHeight w:val="300"/>
        </w:trPr>
        <w:tc>
          <w:tcPr>
            <w:tcW w:w="2693" w:type="dxa"/>
            <w:noWrap/>
            <w:hideMark/>
          </w:tcPr>
          <w:p w14:paraId="1A76829A" w14:textId="77777777" w:rsidR="000E74CF" w:rsidRPr="00312416" w:rsidRDefault="000E74CF" w:rsidP="008B7B5C">
            <w:pPr>
              <w:jc w:val="both"/>
              <w:rPr>
                <w:rFonts w:ascii="Calibri" w:hAnsi="Calibri" w:cs="Calibri"/>
                <w:lang w:val="id-ID"/>
              </w:rPr>
            </w:pPr>
            <w:r w:rsidRPr="00312416">
              <w:rPr>
                <w:rFonts w:ascii="Calibri" w:hAnsi="Calibri" w:cs="Calibri"/>
                <w:lang w:val="id-ID"/>
              </w:rPr>
              <w:t>Korea Selatan</w:t>
            </w:r>
          </w:p>
        </w:tc>
        <w:tc>
          <w:tcPr>
            <w:tcW w:w="2551" w:type="dxa"/>
            <w:noWrap/>
            <w:vAlign w:val="center"/>
            <w:hideMark/>
          </w:tcPr>
          <w:p w14:paraId="4F7D0DB5" w14:textId="77777777" w:rsidR="000E74CF" w:rsidRPr="00312416" w:rsidRDefault="000E74CF" w:rsidP="008B7B5C">
            <w:pPr>
              <w:jc w:val="right"/>
              <w:rPr>
                <w:rFonts w:ascii="Calibri" w:hAnsi="Calibri" w:cs="Calibri"/>
                <w:lang w:val="id-ID"/>
              </w:rPr>
            </w:pPr>
            <w:r w:rsidRPr="00312416">
              <w:rPr>
                <w:rFonts w:ascii="Calibri" w:hAnsi="Calibri" w:cs="Calibri"/>
                <w:lang w:val="id-ID"/>
              </w:rPr>
              <w:t>10,8</w:t>
            </w:r>
          </w:p>
        </w:tc>
        <w:tc>
          <w:tcPr>
            <w:tcW w:w="2518" w:type="dxa"/>
            <w:noWrap/>
            <w:vAlign w:val="center"/>
            <w:hideMark/>
          </w:tcPr>
          <w:p w14:paraId="0B83C8B3" w14:textId="77777777" w:rsidR="000E74CF" w:rsidRPr="00312416" w:rsidRDefault="000E74CF" w:rsidP="008B7B5C">
            <w:pPr>
              <w:jc w:val="right"/>
              <w:rPr>
                <w:rFonts w:ascii="Calibri" w:hAnsi="Calibri" w:cs="Calibri"/>
                <w:lang w:val="id-ID"/>
              </w:rPr>
            </w:pPr>
            <w:r>
              <w:rPr>
                <w:rFonts w:ascii="Calibri" w:hAnsi="Calibri" w:cs="Calibri"/>
                <w:color w:val="000000"/>
              </w:rPr>
              <w:t>2,69</w:t>
            </w:r>
          </w:p>
        </w:tc>
      </w:tr>
      <w:tr w:rsidR="000E74CF" w:rsidRPr="00312416" w14:paraId="26970520" w14:textId="77777777" w:rsidTr="008B7B5C">
        <w:trPr>
          <w:trHeight w:val="300"/>
        </w:trPr>
        <w:tc>
          <w:tcPr>
            <w:tcW w:w="2693" w:type="dxa"/>
            <w:noWrap/>
            <w:hideMark/>
          </w:tcPr>
          <w:p w14:paraId="65A203F6" w14:textId="77777777" w:rsidR="000E74CF" w:rsidRPr="00312416" w:rsidRDefault="000E74CF" w:rsidP="008B7B5C">
            <w:pPr>
              <w:jc w:val="both"/>
              <w:rPr>
                <w:rFonts w:ascii="Calibri" w:hAnsi="Calibri" w:cs="Calibri"/>
                <w:lang w:val="id-ID"/>
              </w:rPr>
            </w:pPr>
            <w:r w:rsidRPr="00312416">
              <w:rPr>
                <w:rFonts w:ascii="Calibri" w:hAnsi="Calibri" w:cs="Calibri"/>
                <w:lang w:val="id-ID"/>
              </w:rPr>
              <w:t>Australia</w:t>
            </w:r>
          </w:p>
        </w:tc>
        <w:tc>
          <w:tcPr>
            <w:tcW w:w="2551" w:type="dxa"/>
            <w:noWrap/>
            <w:vAlign w:val="center"/>
            <w:hideMark/>
          </w:tcPr>
          <w:p w14:paraId="137EE463" w14:textId="77777777" w:rsidR="000E74CF" w:rsidRPr="00312416" w:rsidRDefault="000E74CF" w:rsidP="008B7B5C">
            <w:pPr>
              <w:jc w:val="right"/>
              <w:rPr>
                <w:rFonts w:ascii="Calibri" w:hAnsi="Calibri" w:cs="Calibri"/>
                <w:lang w:val="id-ID"/>
              </w:rPr>
            </w:pPr>
            <w:r w:rsidRPr="00312416">
              <w:rPr>
                <w:rFonts w:ascii="Calibri" w:hAnsi="Calibri" w:cs="Calibri"/>
                <w:lang w:val="id-ID"/>
              </w:rPr>
              <w:t>8,9</w:t>
            </w:r>
          </w:p>
        </w:tc>
        <w:tc>
          <w:tcPr>
            <w:tcW w:w="2518" w:type="dxa"/>
            <w:noWrap/>
            <w:vAlign w:val="center"/>
            <w:hideMark/>
          </w:tcPr>
          <w:p w14:paraId="060C72A6" w14:textId="77777777" w:rsidR="000E74CF" w:rsidRPr="00312416" w:rsidRDefault="000E74CF" w:rsidP="008B7B5C">
            <w:pPr>
              <w:jc w:val="right"/>
              <w:rPr>
                <w:rFonts w:ascii="Calibri" w:hAnsi="Calibri" w:cs="Calibri"/>
                <w:lang w:val="id-ID"/>
              </w:rPr>
            </w:pPr>
            <w:r>
              <w:rPr>
                <w:rFonts w:ascii="Calibri" w:hAnsi="Calibri" w:cs="Calibri"/>
                <w:color w:val="000000"/>
              </w:rPr>
              <w:t>2,21</w:t>
            </w:r>
          </w:p>
        </w:tc>
      </w:tr>
      <w:tr w:rsidR="000E74CF" w:rsidRPr="00312416" w14:paraId="48476924" w14:textId="77777777" w:rsidTr="008B7B5C">
        <w:trPr>
          <w:trHeight w:val="300"/>
        </w:trPr>
        <w:tc>
          <w:tcPr>
            <w:tcW w:w="2693" w:type="dxa"/>
            <w:noWrap/>
            <w:hideMark/>
          </w:tcPr>
          <w:p w14:paraId="0AAC66A8" w14:textId="77777777" w:rsidR="000E74CF" w:rsidRPr="00312416" w:rsidRDefault="000E74CF" w:rsidP="008B7B5C">
            <w:pPr>
              <w:jc w:val="both"/>
              <w:rPr>
                <w:rFonts w:ascii="Calibri" w:hAnsi="Calibri" w:cs="Calibri"/>
                <w:lang w:val="id-ID"/>
              </w:rPr>
            </w:pPr>
            <w:r w:rsidRPr="00312416">
              <w:rPr>
                <w:rFonts w:ascii="Calibri" w:hAnsi="Calibri" w:cs="Calibri"/>
                <w:lang w:val="id-ID"/>
              </w:rPr>
              <w:t>Negara Lain</w:t>
            </w:r>
          </w:p>
        </w:tc>
        <w:tc>
          <w:tcPr>
            <w:tcW w:w="2551" w:type="dxa"/>
            <w:noWrap/>
            <w:vAlign w:val="center"/>
            <w:hideMark/>
          </w:tcPr>
          <w:p w14:paraId="12EB0031" w14:textId="77777777" w:rsidR="000E74CF" w:rsidRPr="00312416" w:rsidRDefault="000E74CF" w:rsidP="008B7B5C">
            <w:pPr>
              <w:jc w:val="right"/>
              <w:rPr>
                <w:rFonts w:ascii="Calibri" w:hAnsi="Calibri" w:cs="Calibri"/>
                <w:lang w:val="id-ID"/>
              </w:rPr>
            </w:pPr>
            <w:r w:rsidRPr="00312416">
              <w:rPr>
                <w:rFonts w:ascii="Calibri" w:hAnsi="Calibri" w:cs="Calibri"/>
                <w:lang w:val="id-ID"/>
              </w:rPr>
              <w:t>168,1</w:t>
            </w:r>
          </w:p>
        </w:tc>
        <w:tc>
          <w:tcPr>
            <w:tcW w:w="2518" w:type="dxa"/>
            <w:noWrap/>
            <w:vAlign w:val="center"/>
            <w:hideMark/>
          </w:tcPr>
          <w:p w14:paraId="5C732460" w14:textId="77777777" w:rsidR="000E74CF" w:rsidRPr="00312416" w:rsidRDefault="000E74CF" w:rsidP="008B7B5C">
            <w:pPr>
              <w:jc w:val="right"/>
              <w:rPr>
                <w:rFonts w:ascii="Calibri" w:hAnsi="Calibri" w:cs="Calibri"/>
                <w:lang w:val="id-ID"/>
              </w:rPr>
            </w:pPr>
            <w:r>
              <w:rPr>
                <w:rFonts w:ascii="Calibri" w:hAnsi="Calibri" w:cs="Calibri"/>
                <w:color w:val="000000"/>
              </w:rPr>
              <w:t>41,86</w:t>
            </w:r>
          </w:p>
        </w:tc>
      </w:tr>
      <w:tr w:rsidR="000E74CF" w:rsidRPr="00312416" w14:paraId="5F3BF756" w14:textId="77777777" w:rsidTr="008B7B5C">
        <w:trPr>
          <w:trHeight w:val="300"/>
        </w:trPr>
        <w:tc>
          <w:tcPr>
            <w:tcW w:w="2693" w:type="dxa"/>
            <w:noWrap/>
            <w:hideMark/>
          </w:tcPr>
          <w:p w14:paraId="769963FD" w14:textId="77777777" w:rsidR="000E74CF" w:rsidRPr="00973028" w:rsidRDefault="000E74CF" w:rsidP="008B7B5C">
            <w:pPr>
              <w:jc w:val="both"/>
              <w:rPr>
                <w:rFonts w:ascii="Calibri" w:hAnsi="Calibri" w:cs="Calibri"/>
                <w:b/>
                <w:bCs/>
                <w:lang w:val="id-ID"/>
              </w:rPr>
            </w:pPr>
            <w:r w:rsidRPr="00973028">
              <w:rPr>
                <w:rFonts w:ascii="Calibri" w:hAnsi="Calibri" w:cs="Calibri"/>
                <w:b/>
                <w:bCs/>
                <w:lang w:val="id-ID"/>
              </w:rPr>
              <w:t>Total</w:t>
            </w:r>
          </w:p>
        </w:tc>
        <w:tc>
          <w:tcPr>
            <w:tcW w:w="2551" w:type="dxa"/>
            <w:noWrap/>
            <w:vAlign w:val="center"/>
            <w:hideMark/>
          </w:tcPr>
          <w:p w14:paraId="759DDFE9" w14:textId="77777777" w:rsidR="000E74CF" w:rsidRPr="00973028" w:rsidRDefault="000E74CF" w:rsidP="008B7B5C">
            <w:pPr>
              <w:jc w:val="right"/>
              <w:rPr>
                <w:rFonts w:ascii="Calibri" w:hAnsi="Calibri" w:cs="Calibri"/>
                <w:b/>
                <w:bCs/>
                <w:lang w:val="id-ID"/>
              </w:rPr>
            </w:pPr>
            <w:r w:rsidRPr="00973028">
              <w:rPr>
                <w:rFonts w:ascii="Calibri" w:hAnsi="Calibri" w:cs="Calibri"/>
                <w:b/>
                <w:bCs/>
                <w:lang w:val="id-ID"/>
              </w:rPr>
              <w:t>401,6</w:t>
            </w:r>
          </w:p>
        </w:tc>
        <w:tc>
          <w:tcPr>
            <w:tcW w:w="2518" w:type="dxa"/>
            <w:noWrap/>
            <w:vAlign w:val="center"/>
            <w:hideMark/>
          </w:tcPr>
          <w:p w14:paraId="44A3E95A" w14:textId="77777777" w:rsidR="000E74CF" w:rsidRPr="00973028" w:rsidRDefault="000E74CF" w:rsidP="008B7B5C">
            <w:pPr>
              <w:jc w:val="right"/>
              <w:rPr>
                <w:rFonts w:ascii="Calibri" w:hAnsi="Calibri" w:cs="Calibri"/>
                <w:b/>
                <w:bCs/>
                <w:lang w:val="id-ID"/>
              </w:rPr>
            </w:pPr>
            <w:r w:rsidRPr="00973028">
              <w:rPr>
                <w:rFonts w:ascii="Calibri" w:hAnsi="Calibri" w:cs="Calibri"/>
                <w:b/>
                <w:bCs/>
                <w:color w:val="000000"/>
              </w:rPr>
              <w:t>100,00</w:t>
            </w:r>
          </w:p>
        </w:tc>
      </w:tr>
    </w:tbl>
    <w:p w14:paraId="1A8C8FB0" w14:textId="77777777" w:rsidR="000E74CF" w:rsidRPr="00D72D25" w:rsidRDefault="000E74CF" w:rsidP="000E74CF">
      <w:pPr>
        <w:spacing w:after="240" w:line="240" w:lineRule="auto"/>
        <w:ind w:left="993"/>
        <w:jc w:val="both"/>
        <w:rPr>
          <w:rFonts w:ascii="Calibri" w:hAnsi="Calibri" w:cs="Calibri"/>
          <w:sz w:val="20"/>
          <w:szCs w:val="20"/>
          <w:lang w:val="id-ID"/>
        </w:rPr>
      </w:pPr>
      <w:r w:rsidRPr="00D72D25">
        <w:rPr>
          <w:rFonts w:ascii="Calibri" w:hAnsi="Calibri" w:cs="Calibri"/>
          <w:sz w:val="20"/>
          <w:szCs w:val="20"/>
          <w:lang w:val="id-ID"/>
        </w:rPr>
        <w:t xml:space="preserve">Sumber: </w:t>
      </w:r>
      <w:r>
        <w:rPr>
          <w:rFonts w:ascii="Calibri" w:hAnsi="Calibri" w:cs="Calibri"/>
          <w:sz w:val="20"/>
          <w:szCs w:val="20"/>
          <w:lang w:val="id-ID"/>
        </w:rPr>
        <w:t xml:space="preserve">NEXT Indonesia mengolah dari data </w:t>
      </w:r>
      <w:r w:rsidRPr="00D72D25">
        <w:rPr>
          <w:rFonts w:ascii="Calibri" w:hAnsi="Calibri" w:cs="Calibri"/>
          <w:sz w:val="20"/>
          <w:szCs w:val="20"/>
          <w:lang w:val="id-ID"/>
        </w:rPr>
        <w:t xml:space="preserve">UN </w:t>
      </w:r>
      <w:proofErr w:type="spellStart"/>
      <w:r w:rsidRPr="00D72D25">
        <w:rPr>
          <w:rFonts w:ascii="Calibri" w:hAnsi="Calibri" w:cs="Calibri"/>
          <w:sz w:val="20"/>
          <w:szCs w:val="20"/>
          <w:lang w:val="id-ID"/>
        </w:rPr>
        <w:t>Comtrade</w:t>
      </w:r>
      <w:proofErr w:type="spellEnd"/>
    </w:p>
    <w:p w14:paraId="1D710691" w14:textId="610CEE0F" w:rsidR="000E74CF" w:rsidRDefault="000E74CF" w:rsidP="000E74CF">
      <w:pPr>
        <w:spacing w:line="240" w:lineRule="auto"/>
        <w:jc w:val="both"/>
        <w:rPr>
          <w:rFonts w:ascii="Calibri" w:hAnsi="Calibri" w:cs="Calibri"/>
          <w:sz w:val="24"/>
          <w:szCs w:val="24"/>
        </w:rPr>
      </w:pPr>
    </w:p>
    <w:p w14:paraId="4815A3AB" w14:textId="0134B862" w:rsidR="000E74CF" w:rsidRDefault="000E74CF" w:rsidP="000E74CF">
      <w:pPr>
        <w:spacing w:line="240" w:lineRule="auto"/>
        <w:jc w:val="both"/>
        <w:rPr>
          <w:rFonts w:ascii="Calibri" w:hAnsi="Calibri" w:cs="Calibri"/>
          <w:sz w:val="24"/>
          <w:szCs w:val="24"/>
        </w:rPr>
      </w:pPr>
    </w:p>
    <w:p w14:paraId="5E92323C" w14:textId="299E0F33" w:rsidR="000E74CF" w:rsidRDefault="000E74CF" w:rsidP="000E74CF">
      <w:pPr>
        <w:spacing w:line="240" w:lineRule="auto"/>
        <w:jc w:val="both"/>
        <w:rPr>
          <w:rFonts w:ascii="Calibri" w:hAnsi="Calibri" w:cs="Calibri"/>
          <w:sz w:val="24"/>
          <w:szCs w:val="24"/>
        </w:rPr>
      </w:pPr>
    </w:p>
    <w:p w14:paraId="2FB9EFF2" w14:textId="0B36D748" w:rsidR="000E74CF" w:rsidRDefault="000E74CF" w:rsidP="000E74CF">
      <w:pPr>
        <w:spacing w:line="240" w:lineRule="auto"/>
        <w:jc w:val="both"/>
        <w:rPr>
          <w:rFonts w:ascii="Calibri" w:hAnsi="Calibri" w:cs="Calibri"/>
          <w:sz w:val="24"/>
          <w:szCs w:val="24"/>
        </w:rPr>
      </w:pPr>
    </w:p>
    <w:p w14:paraId="51ED99C1" w14:textId="23306E96" w:rsidR="000E74CF" w:rsidRDefault="000E74CF" w:rsidP="000E74CF">
      <w:pPr>
        <w:spacing w:line="240" w:lineRule="auto"/>
        <w:jc w:val="both"/>
        <w:rPr>
          <w:rFonts w:ascii="Calibri" w:hAnsi="Calibri" w:cs="Calibri"/>
          <w:sz w:val="24"/>
          <w:szCs w:val="24"/>
        </w:rPr>
      </w:pPr>
    </w:p>
    <w:p w14:paraId="1463B77E" w14:textId="77777777" w:rsidR="000E74CF" w:rsidRDefault="000E74CF" w:rsidP="000E74CF">
      <w:pPr>
        <w:spacing w:line="240" w:lineRule="auto"/>
        <w:jc w:val="both"/>
        <w:rPr>
          <w:rFonts w:ascii="Calibri" w:hAnsi="Calibri" w:cs="Calibri"/>
          <w:sz w:val="24"/>
          <w:szCs w:val="24"/>
        </w:rPr>
      </w:pPr>
    </w:p>
    <w:p w14:paraId="1415A1ED" w14:textId="77777777" w:rsidR="000E74CF" w:rsidRDefault="000E74CF" w:rsidP="000E74CF">
      <w:pPr>
        <w:spacing w:line="240" w:lineRule="auto"/>
        <w:jc w:val="both"/>
        <w:rPr>
          <w:rFonts w:ascii="Calibri" w:hAnsi="Calibri" w:cs="Calibri"/>
          <w:sz w:val="24"/>
          <w:szCs w:val="24"/>
        </w:rPr>
      </w:pPr>
    </w:p>
    <w:p w14:paraId="1CF1ABE2" w14:textId="77777777" w:rsidR="000E74CF" w:rsidRPr="005701DC" w:rsidRDefault="000E74CF" w:rsidP="000E74CF">
      <w:pPr>
        <w:spacing w:line="240" w:lineRule="auto"/>
        <w:jc w:val="center"/>
        <w:rPr>
          <w:rFonts w:ascii="Calibri" w:hAnsi="Calibri" w:cs="Calibri"/>
          <w:b/>
          <w:bCs/>
          <w:sz w:val="24"/>
          <w:szCs w:val="24"/>
          <w:lang w:val="id-ID"/>
        </w:rPr>
      </w:pPr>
      <w:r w:rsidRPr="005701DC">
        <w:rPr>
          <w:rFonts w:ascii="Calibri" w:hAnsi="Calibri" w:cs="Calibri"/>
          <w:b/>
          <w:bCs/>
          <w:sz w:val="24"/>
          <w:szCs w:val="24"/>
          <w:lang w:val="id-ID"/>
        </w:rPr>
        <w:t xml:space="preserve">10 Negara Mitra Dagang Indonesia </w:t>
      </w:r>
    </w:p>
    <w:p w14:paraId="7E5BCC13" w14:textId="77777777" w:rsidR="000E74CF" w:rsidRPr="005701DC" w:rsidRDefault="000E74CF" w:rsidP="000E74CF">
      <w:pPr>
        <w:spacing w:line="240" w:lineRule="auto"/>
        <w:jc w:val="center"/>
        <w:rPr>
          <w:rFonts w:ascii="Calibri" w:hAnsi="Calibri" w:cs="Calibri"/>
          <w:b/>
          <w:bCs/>
          <w:sz w:val="24"/>
          <w:szCs w:val="24"/>
          <w:lang w:val="id-ID"/>
        </w:rPr>
      </w:pPr>
      <w:r w:rsidRPr="005701DC">
        <w:rPr>
          <w:rFonts w:ascii="Calibri" w:hAnsi="Calibri" w:cs="Calibri"/>
          <w:b/>
          <w:bCs/>
          <w:sz w:val="24"/>
          <w:szCs w:val="24"/>
          <w:lang w:val="id-ID"/>
        </w:rPr>
        <w:t xml:space="preserve">dengan </w:t>
      </w:r>
      <w:r w:rsidRPr="005701DC">
        <w:rPr>
          <w:rFonts w:ascii="Calibri" w:hAnsi="Calibri" w:cs="Calibri"/>
          <w:b/>
          <w:bCs/>
          <w:i/>
          <w:iCs/>
          <w:sz w:val="24"/>
          <w:szCs w:val="24"/>
          <w:lang w:val="id-ID"/>
        </w:rPr>
        <w:t>Over-</w:t>
      </w:r>
      <w:proofErr w:type="spellStart"/>
      <w:r w:rsidRPr="005701DC">
        <w:rPr>
          <w:rFonts w:ascii="Calibri" w:hAnsi="Calibri" w:cs="Calibri"/>
          <w:b/>
          <w:bCs/>
          <w:i/>
          <w:iCs/>
          <w:sz w:val="24"/>
          <w:szCs w:val="24"/>
          <w:lang w:val="id-ID"/>
        </w:rPr>
        <w:t>Invoicing</w:t>
      </w:r>
      <w:proofErr w:type="spellEnd"/>
      <w:r w:rsidRPr="005701DC">
        <w:rPr>
          <w:rFonts w:ascii="Calibri" w:hAnsi="Calibri" w:cs="Calibri"/>
          <w:b/>
          <w:bCs/>
          <w:sz w:val="24"/>
          <w:szCs w:val="24"/>
          <w:lang w:val="id-ID"/>
        </w:rPr>
        <w:t xml:space="preserve"> Tertinggi</w:t>
      </w:r>
    </w:p>
    <w:p w14:paraId="22B0DFFA" w14:textId="77777777" w:rsidR="000E74CF" w:rsidRPr="00D72D25" w:rsidRDefault="000E74CF" w:rsidP="000E74CF">
      <w:pPr>
        <w:spacing w:line="240" w:lineRule="auto"/>
        <w:jc w:val="center"/>
        <w:rPr>
          <w:rFonts w:ascii="Calibri" w:hAnsi="Calibri" w:cs="Calibri"/>
          <w:lang w:val="id-ID"/>
        </w:rPr>
      </w:pPr>
    </w:p>
    <w:tbl>
      <w:tblPr>
        <w:tblW w:w="7933" w:type="dxa"/>
        <w:jc w:val="center"/>
        <w:tblLook w:val="04A0" w:firstRow="1" w:lastRow="0" w:firstColumn="1" w:lastColumn="0" w:noHBand="0" w:noVBand="1"/>
      </w:tblPr>
      <w:tblGrid>
        <w:gridCol w:w="1880"/>
        <w:gridCol w:w="3785"/>
        <w:gridCol w:w="2268"/>
      </w:tblGrid>
      <w:tr w:rsidR="000E74CF" w:rsidRPr="005701DC" w14:paraId="64D27F3B" w14:textId="77777777" w:rsidTr="008B7B5C">
        <w:trPr>
          <w:trHeight w:val="300"/>
          <w:jc w:val="center"/>
        </w:trPr>
        <w:tc>
          <w:tcPr>
            <w:tcW w:w="1880" w:type="dxa"/>
            <w:tcBorders>
              <w:top w:val="single" w:sz="4" w:space="0" w:color="auto"/>
              <w:left w:val="single" w:sz="4" w:space="0" w:color="auto"/>
              <w:bottom w:val="single" w:sz="4" w:space="0" w:color="auto"/>
              <w:right w:val="single" w:sz="4" w:space="0" w:color="auto"/>
            </w:tcBorders>
            <w:noWrap/>
            <w:vAlign w:val="center"/>
            <w:hideMark/>
          </w:tcPr>
          <w:p w14:paraId="768D4306" w14:textId="77777777" w:rsidR="000E74CF" w:rsidRPr="005701DC" w:rsidRDefault="000E74CF" w:rsidP="008B7B5C">
            <w:pPr>
              <w:spacing w:line="240" w:lineRule="auto"/>
              <w:jc w:val="center"/>
              <w:rPr>
                <w:rFonts w:ascii="Calibri" w:hAnsi="Calibri" w:cs="Calibri"/>
                <w:b/>
                <w:bCs/>
                <w:color w:val="000000"/>
                <w:sz w:val="24"/>
                <w:szCs w:val="24"/>
                <w:lang w:val="id-ID"/>
              </w:rPr>
            </w:pPr>
            <w:r w:rsidRPr="005701DC">
              <w:rPr>
                <w:rFonts w:ascii="Calibri" w:hAnsi="Calibri" w:cs="Calibri"/>
                <w:b/>
                <w:bCs/>
                <w:color w:val="000000"/>
                <w:sz w:val="24"/>
                <w:szCs w:val="24"/>
                <w:lang w:val="id-ID"/>
              </w:rPr>
              <w:t>Negara</w:t>
            </w:r>
          </w:p>
        </w:tc>
        <w:tc>
          <w:tcPr>
            <w:tcW w:w="3785" w:type="dxa"/>
            <w:tcBorders>
              <w:top w:val="single" w:sz="4" w:space="0" w:color="auto"/>
              <w:left w:val="nil"/>
              <w:bottom w:val="single" w:sz="4" w:space="0" w:color="auto"/>
              <w:right w:val="single" w:sz="4" w:space="0" w:color="auto"/>
            </w:tcBorders>
            <w:noWrap/>
            <w:vAlign w:val="center"/>
            <w:hideMark/>
          </w:tcPr>
          <w:p w14:paraId="245128C7" w14:textId="77777777" w:rsidR="000E74CF" w:rsidRPr="005701DC" w:rsidRDefault="000E74CF" w:rsidP="008B7B5C">
            <w:pPr>
              <w:spacing w:line="240" w:lineRule="auto"/>
              <w:jc w:val="center"/>
              <w:rPr>
                <w:rFonts w:ascii="Calibri" w:hAnsi="Calibri" w:cs="Calibri"/>
                <w:b/>
                <w:bCs/>
                <w:i/>
                <w:iCs/>
                <w:color w:val="000000"/>
                <w:sz w:val="24"/>
                <w:szCs w:val="24"/>
                <w:lang w:val="id-ID"/>
              </w:rPr>
            </w:pPr>
            <w:r w:rsidRPr="005701DC">
              <w:rPr>
                <w:rFonts w:ascii="Calibri" w:hAnsi="Calibri" w:cs="Calibri"/>
                <w:b/>
                <w:bCs/>
                <w:color w:val="000000"/>
                <w:sz w:val="24"/>
                <w:szCs w:val="24"/>
                <w:lang w:val="id-ID"/>
              </w:rPr>
              <w:t xml:space="preserve">Nilai </w:t>
            </w:r>
            <w:r w:rsidRPr="005701DC">
              <w:rPr>
                <w:rFonts w:ascii="Calibri" w:hAnsi="Calibri" w:cs="Calibri"/>
                <w:b/>
                <w:bCs/>
                <w:i/>
                <w:iCs/>
                <w:sz w:val="24"/>
                <w:szCs w:val="24"/>
                <w:lang w:val="id-ID"/>
              </w:rPr>
              <w:t xml:space="preserve">Over </w:t>
            </w:r>
            <w:proofErr w:type="spellStart"/>
            <w:r w:rsidRPr="005701DC">
              <w:rPr>
                <w:rFonts w:ascii="Calibri" w:hAnsi="Calibri" w:cs="Calibri"/>
                <w:b/>
                <w:bCs/>
                <w:i/>
                <w:iCs/>
                <w:sz w:val="24"/>
                <w:szCs w:val="24"/>
                <w:lang w:val="id-ID"/>
              </w:rPr>
              <w:t>Invoicing</w:t>
            </w:r>
            <w:proofErr w:type="spellEnd"/>
          </w:p>
          <w:p w14:paraId="58962DD6" w14:textId="77777777" w:rsidR="000E74CF" w:rsidRPr="005701DC" w:rsidRDefault="000E74CF" w:rsidP="008B7B5C">
            <w:pPr>
              <w:spacing w:line="240" w:lineRule="auto"/>
              <w:jc w:val="center"/>
              <w:rPr>
                <w:rFonts w:ascii="Calibri" w:hAnsi="Calibri" w:cs="Calibri"/>
                <w:b/>
                <w:bCs/>
                <w:color w:val="000000"/>
                <w:sz w:val="24"/>
                <w:szCs w:val="24"/>
                <w:lang w:val="id-ID"/>
              </w:rPr>
            </w:pPr>
            <w:r w:rsidRPr="005701DC">
              <w:rPr>
                <w:rFonts w:ascii="Calibri" w:hAnsi="Calibri" w:cs="Calibri"/>
                <w:b/>
                <w:bCs/>
                <w:color w:val="000000"/>
                <w:sz w:val="24"/>
                <w:szCs w:val="24"/>
                <w:lang w:val="id-ID"/>
              </w:rPr>
              <w:t>(US$ Miliar)</w:t>
            </w:r>
          </w:p>
        </w:tc>
        <w:tc>
          <w:tcPr>
            <w:tcW w:w="2268" w:type="dxa"/>
            <w:tcBorders>
              <w:top w:val="single" w:sz="4" w:space="0" w:color="auto"/>
              <w:left w:val="nil"/>
              <w:bottom w:val="single" w:sz="4" w:space="0" w:color="auto"/>
              <w:right w:val="single" w:sz="4" w:space="0" w:color="auto"/>
            </w:tcBorders>
            <w:noWrap/>
            <w:vAlign w:val="center"/>
            <w:hideMark/>
          </w:tcPr>
          <w:p w14:paraId="146958E4" w14:textId="77777777" w:rsidR="000E74CF" w:rsidRPr="005701DC" w:rsidRDefault="000E74CF" w:rsidP="008B7B5C">
            <w:pPr>
              <w:spacing w:line="240" w:lineRule="auto"/>
              <w:jc w:val="center"/>
              <w:rPr>
                <w:rFonts w:ascii="Calibri" w:hAnsi="Calibri" w:cs="Calibri"/>
                <w:b/>
                <w:bCs/>
                <w:color w:val="000000"/>
                <w:sz w:val="24"/>
                <w:szCs w:val="24"/>
                <w:lang w:val="id-ID"/>
              </w:rPr>
            </w:pPr>
            <w:r w:rsidRPr="005701DC">
              <w:rPr>
                <w:rFonts w:ascii="Calibri" w:hAnsi="Calibri" w:cs="Calibri"/>
                <w:b/>
                <w:bCs/>
                <w:color w:val="000000"/>
                <w:sz w:val="24"/>
                <w:szCs w:val="24"/>
                <w:lang w:val="id-ID"/>
              </w:rPr>
              <w:t xml:space="preserve">Porsi </w:t>
            </w:r>
            <w:r w:rsidRPr="005701DC">
              <w:rPr>
                <w:rFonts w:ascii="Calibri" w:hAnsi="Calibri" w:cs="Calibri"/>
                <w:b/>
                <w:bCs/>
                <w:i/>
                <w:iCs/>
                <w:sz w:val="24"/>
                <w:szCs w:val="24"/>
                <w:lang w:val="id-ID"/>
              </w:rPr>
              <w:t xml:space="preserve">Over </w:t>
            </w:r>
            <w:proofErr w:type="spellStart"/>
            <w:r w:rsidRPr="005701DC">
              <w:rPr>
                <w:rFonts w:ascii="Calibri" w:hAnsi="Calibri" w:cs="Calibri"/>
                <w:b/>
                <w:bCs/>
                <w:i/>
                <w:iCs/>
                <w:sz w:val="24"/>
                <w:szCs w:val="24"/>
                <w:lang w:val="id-ID"/>
              </w:rPr>
              <w:t>Invoicing</w:t>
            </w:r>
            <w:proofErr w:type="spellEnd"/>
          </w:p>
          <w:p w14:paraId="2883D6C1" w14:textId="77777777" w:rsidR="000E74CF" w:rsidRPr="005701DC" w:rsidRDefault="000E74CF" w:rsidP="008B7B5C">
            <w:pPr>
              <w:spacing w:line="240" w:lineRule="auto"/>
              <w:jc w:val="center"/>
              <w:rPr>
                <w:rFonts w:ascii="Calibri" w:hAnsi="Calibri" w:cs="Calibri"/>
                <w:b/>
                <w:bCs/>
                <w:color w:val="000000"/>
                <w:sz w:val="24"/>
                <w:szCs w:val="24"/>
                <w:lang w:val="id-ID"/>
              </w:rPr>
            </w:pPr>
            <w:r w:rsidRPr="005701DC">
              <w:rPr>
                <w:rFonts w:ascii="Calibri" w:hAnsi="Calibri" w:cs="Calibri"/>
                <w:b/>
                <w:bCs/>
                <w:color w:val="000000"/>
                <w:sz w:val="24"/>
                <w:szCs w:val="24"/>
                <w:lang w:val="id-ID"/>
              </w:rPr>
              <w:t>(%)</w:t>
            </w:r>
          </w:p>
        </w:tc>
      </w:tr>
      <w:tr w:rsidR="000E74CF" w:rsidRPr="005701DC" w14:paraId="5A39F478" w14:textId="77777777" w:rsidTr="008B7B5C">
        <w:trPr>
          <w:trHeight w:val="340"/>
          <w:jc w:val="center"/>
        </w:trPr>
        <w:tc>
          <w:tcPr>
            <w:tcW w:w="1880" w:type="dxa"/>
            <w:tcBorders>
              <w:top w:val="nil"/>
              <w:left w:val="single" w:sz="4" w:space="0" w:color="auto"/>
              <w:bottom w:val="single" w:sz="4" w:space="0" w:color="auto"/>
              <w:right w:val="single" w:sz="4" w:space="0" w:color="auto"/>
            </w:tcBorders>
            <w:noWrap/>
            <w:vAlign w:val="bottom"/>
            <w:hideMark/>
          </w:tcPr>
          <w:p w14:paraId="7A67E175" w14:textId="77777777" w:rsidR="000E74CF" w:rsidRPr="005701DC" w:rsidRDefault="000E74CF" w:rsidP="008B7B5C">
            <w:pPr>
              <w:spacing w:line="240" w:lineRule="auto"/>
              <w:jc w:val="both"/>
              <w:rPr>
                <w:rFonts w:ascii="Calibri" w:hAnsi="Calibri" w:cs="Calibri"/>
                <w:color w:val="000000"/>
                <w:sz w:val="24"/>
                <w:szCs w:val="24"/>
                <w:lang w:val="id-ID"/>
              </w:rPr>
            </w:pPr>
            <w:r w:rsidRPr="005701DC">
              <w:rPr>
                <w:rFonts w:ascii="Calibri" w:hAnsi="Calibri" w:cs="Calibri"/>
                <w:color w:val="000000"/>
                <w:sz w:val="24"/>
                <w:szCs w:val="24"/>
                <w:lang w:val="id-ID"/>
              </w:rPr>
              <w:t>Singapura</w:t>
            </w:r>
          </w:p>
        </w:tc>
        <w:tc>
          <w:tcPr>
            <w:tcW w:w="3785" w:type="dxa"/>
            <w:tcBorders>
              <w:top w:val="nil"/>
              <w:left w:val="nil"/>
              <w:bottom w:val="single" w:sz="4" w:space="0" w:color="auto"/>
              <w:right w:val="single" w:sz="4" w:space="0" w:color="auto"/>
            </w:tcBorders>
            <w:noWrap/>
            <w:vAlign w:val="center"/>
            <w:hideMark/>
          </w:tcPr>
          <w:p w14:paraId="7E413C56" w14:textId="77777777" w:rsidR="000E74CF" w:rsidRPr="005701DC" w:rsidRDefault="000E74CF" w:rsidP="008B7B5C">
            <w:pPr>
              <w:spacing w:line="240" w:lineRule="auto"/>
              <w:jc w:val="right"/>
              <w:rPr>
                <w:rFonts w:ascii="Calibri" w:hAnsi="Calibri" w:cs="Calibri"/>
                <w:color w:val="000000"/>
                <w:sz w:val="24"/>
                <w:szCs w:val="24"/>
                <w:lang w:val="id-ID"/>
              </w:rPr>
            </w:pPr>
            <w:r w:rsidRPr="005701DC">
              <w:rPr>
                <w:rFonts w:ascii="Calibri" w:hAnsi="Calibri" w:cs="Calibri"/>
                <w:color w:val="000000"/>
                <w:sz w:val="24"/>
                <w:szCs w:val="24"/>
                <w:lang w:val="id-ID"/>
              </w:rPr>
              <w:t>24,2</w:t>
            </w:r>
          </w:p>
        </w:tc>
        <w:tc>
          <w:tcPr>
            <w:tcW w:w="2268" w:type="dxa"/>
            <w:tcBorders>
              <w:top w:val="nil"/>
              <w:left w:val="nil"/>
              <w:bottom w:val="single" w:sz="4" w:space="0" w:color="auto"/>
              <w:right w:val="single" w:sz="4" w:space="0" w:color="auto"/>
            </w:tcBorders>
            <w:noWrap/>
            <w:vAlign w:val="center"/>
            <w:hideMark/>
          </w:tcPr>
          <w:p w14:paraId="27B4B2BE" w14:textId="77777777" w:rsidR="000E74CF" w:rsidRPr="005701DC" w:rsidRDefault="000E74CF" w:rsidP="008B7B5C">
            <w:pPr>
              <w:spacing w:line="240" w:lineRule="auto"/>
              <w:jc w:val="right"/>
              <w:rPr>
                <w:rFonts w:ascii="Calibri" w:hAnsi="Calibri" w:cs="Calibri"/>
                <w:color w:val="000000"/>
                <w:sz w:val="24"/>
                <w:szCs w:val="24"/>
                <w:lang w:val="id-ID"/>
              </w:rPr>
            </w:pPr>
            <w:r w:rsidRPr="005701DC">
              <w:rPr>
                <w:rFonts w:ascii="Calibri" w:hAnsi="Calibri" w:cs="Calibri"/>
                <w:color w:val="000000"/>
                <w:sz w:val="24"/>
                <w:szCs w:val="24"/>
              </w:rPr>
              <w:t>9,57</w:t>
            </w:r>
          </w:p>
        </w:tc>
      </w:tr>
      <w:tr w:rsidR="000E74CF" w:rsidRPr="005701DC" w14:paraId="7A2D50AA" w14:textId="77777777" w:rsidTr="008B7B5C">
        <w:trPr>
          <w:trHeight w:val="340"/>
          <w:jc w:val="center"/>
        </w:trPr>
        <w:tc>
          <w:tcPr>
            <w:tcW w:w="1880" w:type="dxa"/>
            <w:tcBorders>
              <w:top w:val="nil"/>
              <w:left w:val="single" w:sz="4" w:space="0" w:color="auto"/>
              <w:bottom w:val="single" w:sz="4" w:space="0" w:color="auto"/>
              <w:right w:val="single" w:sz="4" w:space="0" w:color="auto"/>
            </w:tcBorders>
            <w:noWrap/>
            <w:vAlign w:val="bottom"/>
            <w:hideMark/>
          </w:tcPr>
          <w:p w14:paraId="7C648A70" w14:textId="77777777" w:rsidR="000E74CF" w:rsidRPr="005701DC" w:rsidRDefault="000E74CF" w:rsidP="008B7B5C">
            <w:pPr>
              <w:spacing w:line="240" w:lineRule="auto"/>
              <w:jc w:val="both"/>
              <w:rPr>
                <w:rFonts w:ascii="Calibri" w:hAnsi="Calibri" w:cs="Calibri"/>
                <w:color w:val="000000"/>
                <w:sz w:val="24"/>
                <w:szCs w:val="24"/>
                <w:lang w:val="id-ID"/>
              </w:rPr>
            </w:pPr>
            <w:r w:rsidRPr="005701DC">
              <w:rPr>
                <w:rFonts w:ascii="Calibri" w:hAnsi="Calibri" w:cs="Calibri"/>
                <w:color w:val="000000"/>
                <w:sz w:val="24"/>
                <w:szCs w:val="24"/>
                <w:lang w:val="id-ID"/>
              </w:rPr>
              <w:t>Bangladesh</w:t>
            </w:r>
          </w:p>
        </w:tc>
        <w:tc>
          <w:tcPr>
            <w:tcW w:w="3785" w:type="dxa"/>
            <w:tcBorders>
              <w:top w:val="nil"/>
              <w:left w:val="nil"/>
              <w:bottom w:val="single" w:sz="4" w:space="0" w:color="auto"/>
              <w:right w:val="single" w:sz="4" w:space="0" w:color="auto"/>
            </w:tcBorders>
            <w:noWrap/>
            <w:vAlign w:val="center"/>
            <w:hideMark/>
          </w:tcPr>
          <w:p w14:paraId="381FEBA4" w14:textId="77777777" w:rsidR="000E74CF" w:rsidRPr="005701DC" w:rsidRDefault="000E74CF" w:rsidP="008B7B5C">
            <w:pPr>
              <w:spacing w:line="240" w:lineRule="auto"/>
              <w:jc w:val="right"/>
              <w:rPr>
                <w:rFonts w:ascii="Calibri" w:hAnsi="Calibri" w:cs="Calibri"/>
                <w:color w:val="000000"/>
                <w:sz w:val="24"/>
                <w:szCs w:val="24"/>
                <w:lang w:val="id-ID"/>
              </w:rPr>
            </w:pPr>
            <w:r w:rsidRPr="005701DC">
              <w:rPr>
                <w:rFonts w:ascii="Calibri" w:hAnsi="Calibri" w:cs="Calibri"/>
                <w:color w:val="000000"/>
                <w:sz w:val="24"/>
                <w:szCs w:val="24"/>
                <w:lang w:val="id-ID"/>
              </w:rPr>
              <w:t>20,2</w:t>
            </w:r>
          </w:p>
        </w:tc>
        <w:tc>
          <w:tcPr>
            <w:tcW w:w="2268" w:type="dxa"/>
            <w:tcBorders>
              <w:top w:val="nil"/>
              <w:left w:val="nil"/>
              <w:bottom w:val="single" w:sz="4" w:space="0" w:color="auto"/>
              <w:right w:val="single" w:sz="4" w:space="0" w:color="auto"/>
            </w:tcBorders>
            <w:noWrap/>
            <w:vAlign w:val="center"/>
            <w:hideMark/>
          </w:tcPr>
          <w:p w14:paraId="3B9FBD48" w14:textId="77777777" w:rsidR="000E74CF" w:rsidRPr="005701DC" w:rsidRDefault="000E74CF" w:rsidP="008B7B5C">
            <w:pPr>
              <w:spacing w:line="240" w:lineRule="auto"/>
              <w:jc w:val="right"/>
              <w:rPr>
                <w:rFonts w:ascii="Calibri" w:hAnsi="Calibri" w:cs="Calibri"/>
                <w:color w:val="000000"/>
                <w:sz w:val="24"/>
                <w:szCs w:val="24"/>
                <w:lang w:val="id-ID"/>
              </w:rPr>
            </w:pPr>
            <w:r w:rsidRPr="005701DC">
              <w:rPr>
                <w:rFonts w:ascii="Calibri" w:hAnsi="Calibri" w:cs="Calibri"/>
                <w:color w:val="000000"/>
                <w:sz w:val="24"/>
                <w:szCs w:val="24"/>
              </w:rPr>
              <w:t>7,99</w:t>
            </w:r>
          </w:p>
        </w:tc>
      </w:tr>
      <w:tr w:rsidR="000E74CF" w:rsidRPr="005701DC" w14:paraId="53BA66DA" w14:textId="77777777" w:rsidTr="008B7B5C">
        <w:trPr>
          <w:trHeight w:val="340"/>
          <w:jc w:val="center"/>
        </w:trPr>
        <w:tc>
          <w:tcPr>
            <w:tcW w:w="1880" w:type="dxa"/>
            <w:tcBorders>
              <w:top w:val="nil"/>
              <w:left w:val="single" w:sz="4" w:space="0" w:color="auto"/>
              <w:bottom w:val="single" w:sz="4" w:space="0" w:color="auto"/>
              <w:right w:val="single" w:sz="4" w:space="0" w:color="auto"/>
            </w:tcBorders>
            <w:noWrap/>
            <w:vAlign w:val="bottom"/>
            <w:hideMark/>
          </w:tcPr>
          <w:p w14:paraId="377C7DF9" w14:textId="77777777" w:rsidR="000E74CF" w:rsidRPr="005701DC" w:rsidRDefault="000E74CF" w:rsidP="008B7B5C">
            <w:pPr>
              <w:spacing w:line="240" w:lineRule="auto"/>
              <w:jc w:val="both"/>
              <w:rPr>
                <w:rFonts w:ascii="Calibri" w:hAnsi="Calibri" w:cs="Calibri"/>
                <w:color w:val="000000"/>
                <w:sz w:val="24"/>
                <w:szCs w:val="24"/>
                <w:lang w:val="id-ID"/>
              </w:rPr>
            </w:pPr>
            <w:r w:rsidRPr="005701DC">
              <w:rPr>
                <w:rFonts w:ascii="Calibri" w:hAnsi="Calibri" w:cs="Calibri"/>
                <w:color w:val="000000"/>
                <w:sz w:val="24"/>
                <w:szCs w:val="24"/>
                <w:lang w:val="id-ID"/>
              </w:rPr>
              <w:t>Malaysia</w:t>
            </w:r>
          </w:p>
        </w:tc>
        <w:tc>
          <w:tcPr>
            <w:tcW w:w="3785" w:type="dxa"/>
            <w:tcBorders>
              <w:top w:val="nil"/>
              <w:left w:val="nil"/>
              <w:bottom w:val="single" w:sz="4" w:space="0" w:color="auto"/>
              <w:right w:val="single" w:sz="4" w:space="0" w:color="auto"/>
            </w:tcBorders>
            <w:noWrap/>
            <w:vAlign w:val="center"/>
            <w:hideMark/>
          </w:tcPr>
          <w:p w14:paraId="3DF988CE" w14:textId="77777777" w:rsidR="000E74CF" w:rsidRPr="005701DC" w:rsidRDefault="000E74CF" w:rsidP="008B7B5C">
            <w:pPr>
              <w:spacing w:line="240" w:lineRule="auto"/>
              <w:jc w:val="right"/>
              <w:rPr>
                <w:rFonts w:ascii="Calibri" w:hAnsi="Calibri" w:cs="Calibri"/>
                <w:color w:val="000000"/>
                <w:sz w:val="24"/>
                <w:szCs w:val="24"/>
                <w:lang w:val="id-ID"/>
              </w:rPr>
            </w:pPr>
            <w:r w:rsidRPr="005701DC">
              <w:rPr>
                <w:rFonts w:ascii="Calibri" w:hAnsi="Calibri" w:cs="Calibri"/>
                <w:color w:val="000000"/>
                <w:sz w:val="24"/>
                <w:szCs w:val="24"/>
                <w:lang w:val="id-ID"/>
              </w:rPr>
              <w:t>17,2</w:t>
            </w:r>
          </w:p>
        </w:tc>
        <w:tc>
          <w:tcPr>
            <w:tcW w:w="2268" w:type="dxa"/>
            <w:tcBorders>
              <w:top w:val="nil"/>
              <w:left w:val="nil"/>
              <w:bottom w:val="single" w:sz="4" w:space="0" w:color="auto"/>
              <w:right w:val="single" w:sz="4" w:space="0" w:color="auto"/>
            </w:tcBorders>
            <w:noWrap/>
            <w:vAlign w:val="center"/>
            <w:hideMark/>
          </w:tcPr>
          <w:p w14:paraId="29022E63" w14:textId="77777777" w:rsidR="000E74CF" w:rsidRPr="005701DC" w:rsidRDefault="000E74CF" w:rsidP="008B7B5C">
            <w:pPr>
              <w:spacing w:line="240" w:lineRule="auto"/>
              <w:jc w:val="right"/>
              <w:rPr>
                <w:rFonts w:ascii="Calibri" w:hAnsi="Calibri" w:cs="Calibri"/>
                <w:color w:val="000000"/>
                <w:sz w:val="24"/>
                <w:szCs w:val="24"/>
                <w:lang w:val="id-ID"/>
              </w:rPr>
            </w:pPr>
            <w:r w:rsidRPr="005701DC">
              <w:rPr>
                <w:rFonts w:ascii="Calibri" w:hAnsi="Calibri" w:cs="Calibri"/>
                <w:color w:val="000000"/>
                <w:sz w:val="24"/>
                <w:szCs w:val="24"/>
              </w:rPr>
              <w:t>6,82</w:t>
            </w:r>
          </w:p>
        </w:tc>
      </w:tr>
      <w:tr w:rsidR="000E74CF" w:rsidRPr="005701DC" w14:paraId="4803150B" w14:textId="77777777" w:rsidTr="008B7B5C">
        <w:trPr>
          <w:trHeight w:val="340"/>
          <w:jc w:val="center"/>
        </w:trPr>
        <w:tc>
          <w:tcPr>
            <w:tcW w:w="1880" w:type="dxa"/>
            <w:tcBorders>
              <w:top w:val="nil"/>
              <w:left w:val="single" w:sz="4" w:space="0" w:color="auto"/>
              <w:bottom w:val="single" w:sz="4" w:space="0" w:color="auto"/>
              <w:right w:val="single" w:sz="4" w:space="0" w:color="auto"/>
            </w:tcBorders>
            <w:noWrap/>
            <w:vAlign w:val="bottom"/>
            <w:hideMark/>
          </w:tcPr>
          <w:p w14:paraId="31089FB3" w14:textId="77777777" w:rsidR="000E74CF" w:rsidRPr="005701DC" w:rsidRDefault="000E74CF" w:rsidP="008B7B5C">
            <w:pPr>
              <w:spacing w:line="240" w:lineRule="auto"/>
              <w:jc w:val="both"/>
              <w:rPr>
                <w:rFonts w:ascii="Calibri" w:hAnsi="Calibri" w:cs="Calibri"/>
                <w:color w:val="000000"/>
                <w:sz w:val="24"/>
                <w:szCs w:val="24"/>
                <w:lang w:val="id-ID"/>
              </w:rPr>
            </w:pPr>
            <w:r w:rsidRPr="005701DC">
              <w:rPr>
                <w:rFonts w:ascii="Calibri" w:hAnsi="Calibri" w:cs="Calibri"/>
                <w:color w:val="000000"/>
                <w:sz w:val="24"/>
                <w:szCs w:val="24"/>
                <w:lang w:val="id-ID"/>
              </w:rPr>
              <w:t>Belanda</w:t>
            </w:r>
          </w:p>
        </w:tc>
        <w:tc>
          <w:tcPr>
            <w:tcW w:w="3785" w:type="dxa"/>
            <w:tcBorders>
              <w:top w:val="nil"/>
              <w:left w:val="nil"/>
              <w:bottom w:val="single" w:sz="4" w:space="0" w:color="auto"/>
              <w:right w:val="single" w:sz="4" w:space="0" w:color="auto"/>
            </w:tcBorders>
            <w:noWrap/>
            <w:vAlign w:val="center"/>
            <w:hideMark/>
          </w:tcPr>
          <w:p w14:paraId="32E35C16" w14:textId="77777777" w:rsidR="000E74CF" w:rsidRPr="005701DC" w:rsidRDefault="000E74CF" w:rsidP="008B7B5C">
            <w:pPr>
              <w:spacing w:line="240" w:lineRule="auto"/>
              <w:jc w:val="right"/>
              <w:rPr>
                <w:rFonts w:ascii="Calibri" w:hAnsi="Calibri" w:cs="Calibri"/>
                <w:color w:val="000000"/>
                <w:sz w:val="24"/>
                <w:szCs w:val="24"/>
                <w:lang w:val="id-ID"/>
              </w:rPr>
            </w:pPr>
            <w:r w:rsidRPr="005701DC">
              <w:rPr>
                <w:rFonts w:ascii="Calibri" w:hAnsi="Calibri" w:cs="Calibri"/>
                <w:color w:val="000000"/>
                <w:sz w:val="24"/>
                <w:szCs w:val="24"/>
                <w:lang w:val="id-ID"/>
              </w:rPr>
              <w:t>12,2</w:t>
            </w:r>
          </w:p>
        </w:tc>
        <w:tc>
          <w:tcPr>
            <w:tcW w:w="2268" w:type="dxa"/>
            <w:tcBorders>
              <w:top w:val="nil"/>
              <w:left w:val="nil"/>
              <w:bottom w:val="single" w:sz="4" w:space="0" w:color="auto"/>
              <w:right w:val="single" w:sz="4" w:space="0" w:color="auto"/>
            </w:tcBorders>
            <w:noWrap/>
            <w:vAlign w:val="center"/>
            <w:hideMark/>
          </w:tcPr>
          <w:p w14:paraId="57508B76" w14:textId="77777777" w:rsidR="000E74CF" w:rsidRPr="005701DC" w:rsidRDefault="000E74CF" w:rsidP="008B7B5C">
            <w:pPr>
              <w:spacing w:line="240" w:lineRule="auto"/>
              <w:jc w:val="right"/>
              <w:rPr>
                <w:rFonts w:ascii="Calibri" w:hAnsi="Calibri" w:cs="Calibri"/>
                <w:color w:val="000000"/>
                <w:sz w:val="24"/>
                <w:szCs w:val="24"/>
                <w:lang w:val="id-ID"/>
              </w:rPr>
            </w:pPr>
            <w:r w:rsidRPr="005701DC">
              <w:rPr>
                <w:rFonts w:ascii="Calibri" w:hAnsi="Calibri" w:cs="Calibri"/>
                <w:color w:val="000000"/>
                <w:sz w:val="24"/>
                <w:szCs w:val="24"/>
              </w:rPr>
              <w:t>4,83</w:t>
            </w:r>
          </w:p>
        </w:tc>
      </w:tr>
      <w:tr w:rsidR="000E74CF" w:rsidRPr="005701DC" w14:paraId="07DD2C27" w14:textId="77777777" w:rsidTr="008B7B5C">
        <w:trPr>
          <w:trHeight w:val="340"/>
          <w:jc w:val="center"/>
        </w:trPr>
        <w:tc>
          <w:tcPr>
            <w:tcW w:w="1880" w:type="dxa"/>
            <w:tcBorders>
              <w:top w:val="nil"/>
              <w:left w:val="single" w:sz="4" w:space="0" w:color="auto"/>
              <w:bottom w:val="single" w:sz="4" w:space="0" w:color="auto"/>
              <w:right w:val="single" w:sz="4" w:space="0" w:color="auto"/>
            </w:tcBorders>
            <w:noWrap/>
            <w:vAlign w:val="bottom"/>
            <w:hideMark/>
          </w:tcPr>
          <w:p w14:paraId="394B2568" w14:textId="77777777" w:rsidR="000E74CF" w:rsidRPr="005701DC" w:rsidRDefault="000E74CF" w:rsidP="008B7B5C">
            <w:pPr>
              <w:spacing w:line="240" w:lineRule="auto"/>
              <w:jc w:val="both"/>
              <w:rPr>
                <w:rFonts w:ascii="Calibri" w:hAnsi="Calibri" w:cs="Calibri"/>
                <w:color w:val="000000"/>
                <w:sz w:val="24"/>
                <w:szCs w:val="24"/>
                <w:lang w:val="id-ID"/>
              </w:rPr>
            </w:pPr>
            <w:r w:rsidRPr="005701DC">
              <w:rPr>
                <w:rFonts w:ascii="Calibri" w:hAnsi="Calibri" w:cs="Calibri"/>
                <w:color w:val="000000"/>
                <w:sz w:val="24"/>
                <w:szCs w:val="24"/>
                <w:lang w:val="id-ID"/>
              </w:rPr>
              <w:t>Filipina</w:t>
            </w:r>
          </w:p>
        </w:tc>
        <w:tc>
          <w:tcPr>
            <w:tcW w:w="3785" w:type="dxa"/>
            <w:tcBorders>
              <w:top w:val="nil"/>
              <w:left w:val="nil"/>
              <w:bottom w:val="single" w:sz="4" w:space="0" w:color="auto"/>
              <w:right w:val="single" w:sz="4" w:space="0" w:color="auto"/>
            </w:tcBorders>
            <w:noWrap/>
            <w:vAlign w:val="center"/>
            <w:hideMark/>
          </w:tcPr>
          <w:p w14:paraId="12E6DB87" w14:textId="77777777" w:rsidR="000E74CF" w:rsidRPr="005701DC" w:rsidRDefault="000E74CF" w:rsidP="008B7B5C">
            <w:pPr>
              <w:spacing w:line="240" w:lineRule="auto"/>
              <w:jc w:val="right"/>
              <w:rPr>
                <w:rFonts w:ascii="Calibri" w:hAnsi="Calibri" w:cs="Calibri"/>
                <w:color w:val="000000"/>
                <w:sz w:val="24"/>
                <w:szCs w:val="24"/>
                <w:lang w:val="id-ID"/>
              </w:rPr>
            </w:pPr>
            <w:r w:rsidRPr="005701DC">
              <w:rPr>
                <w:rFonts w:ascii="Calibri" w:hAnsi="Calibri" w:cs="Calibri"/>
                <w:color w:val="000000"/>
                <w:sz w:val="24"/>
                <w:szCs w:val="24"/>
                <w:lang w:val="id-ID"/>
              </w:rPr>
              <w:t>11,9</w:t>
            </w:r>
          </w:p>
        </w:tc>
        <w:tc>
          <w:tcPr>
            <w:tcW w:w="2268" w:type="dxa"/>
            <w:tcBorders>
              <w:top w:val="nil"/>
              <w:left w:val="nil"/>
              <w:bottom w:val="single" w:sz="4" w:space="0" w:color="auto"/>
              <w:right w:val="single" w:sz="4" w:space="0" w:color="auto"/>
            </w:tcBorders>
            <w:noWrap/>
            <w:vAlign w:val="center"/>
            <w:hideMark/>
          </w:tcPr>
          <w:p w14:paraId="3D808E3A" w14:textId="77777777" w:rsidR="000E74CF" w:rsidRPr="005701DC" w:rsidRDefault="000E74CF" w:rsidP="008B7B5C">
            <w:pPr>
              <w:spacing w:line="240" w:lineRule="auto"/>
              <w:jc w:val="right"/>
              <w:rPr>
                <w:rFonts w:ascii="Calibri" w:hAnsi="Calibri" w:cs="Calibri"/>
                <w:color w:val="000000"/>
                <w:sz w:val="24"/>
                <w:szCs w:val="24"/>
                <w:lang w:val="id-ID"/>
              </w:rPr>
            </w:pPr>
            <w:r w:rsidRPr="005701DC">
              <w:rPr>
                <w:rFonts w:ascii="Calibri" w:hAnsi="Calibri" w:cs="Calibri"/>
                <w:color w:val="000000"/>
                <w:sz w:val="24"/>
                <w:szCs w:val="24"/>
              </w:rPr>
              <w:t>4,70</w:t>
            </w:r>
          </w:p>
        </w:tc>
      </w:tr>
      <w:tr w:rsidR="000E74CF" w:rsidRPr="005701DC" w14:paraId="4FF81D6B" w14:textId="77777777" w:rsidTr="008B7B5C">
        <w:trPr>
          <w:trHeight w:val="340"/>
          <w:jc w:val="center"/>
        </w:trPr>
        <w:tc>
          <w:tcPr>
            <w:tcW w:w="1880" w:type="dxa"/>
            <w:tcBorders>
              <w:top w:val="nil"/>
              <w:left w:val="single" w:sz="4" w:space="0" w:color="auto"/>
              <w:bottom w:val="single" w:sz="4" w:space="0" w:color="auto"/>
              <w:right w:val="single" w:sz="4" w:space="0" w:color="auto"/>
            </w:tcBorders>
            <w:noWrap/>
            <w:vAlign w:val="bottom"/>
            <w:hideMark/>
          </w:tcPr>
          <w:p w14:paraId="4AF388EB" w14:textId="77777777" w:rsidR="000E74CF" w:rsidRPr="005701DC" w:rsidRDefault="000E74CF" w:rsidP="008B7B5C">
            <w:pPr>
              <w:spacing w:line="240" w:lineRule="auto"/>
              <w:jc w:val="both"/>
              <w:rPr>
                <w:rFonts w:ascii="Calibri" w:hAnsi="Calibri" w:cs="Calibri"/>
                <w:color w:val="000000"/>
                <w:sz w:val="24"/>
                <w:szCs w:val="24"/>
                <w:lang w:val="id-ID"/>
              </w:rPr>
            </w:pPr>
            <w:r w:rsidRPr="005701DC">
              <w:rPr>
                <w:rFonts w:ascii="Calibri" w:hAnsi="Calibri" w:cs="Calibri"/>
                <w:color w:val="000000"/>
                <w:sz w:val="24"/>
                <w:szCs w:val="24"/>
                <w:lang w:val="id-ID"/>
              </w:rPr>
              <w:t>Tiongkok</w:t>
            </w:r>
          </w:p>
        </w:tc>
        <w:tc>
          <w:tcPr>
            <w:tcW w:w="3785" w:type="dxa"/>
            <w:tcBorders>
              <w:top w:val="nil"/>
              <w:left w:val="nil"/>
              <w:bottom w:val="single" w:sz="4" w:space="0" w:color="auto"/>
              <w:right w:val="single" w:sz="4" w:space="0" w:color="auto"/>
            </w:tcBorders>
            <w:noWrap/>
            <w:vAlign w:val="center"/>
            <w:hideMark/>
          </w:tcPr>
          <w:p w14:paraId="7BD87469" w14:textId="77777777" w:rsidR="000E74CF" w:rsidRPr="005701DC" w:rsidRDefault="000E74CF" w:rsidP="008B7B5C">
            <w:pPr>
              <w:spacing w:line="240" w:lineRule="auto"/>
              <w:jc w:val="right"/>
              <w:rPr>
                <w:rFonts w:ascii="Calibri" w:hAnsi="Calibri" w:cs="Calibri"/>
                <w:color w:val="000000"/>
                <w:sz w:val="24"/>
                <w:szCs w:val="24"/>
                <w:lang w:val="id-ID"/>
              </w:rPr>
            </w:pPr>
            <w:r w:rsidRPr="005701DC">
              <w:rPr>
                <w:rFonts w:ascii="Calibri" w:hAnsi="Calibri" w:cs="Calibri"/>
                <w:color w:val="000000"/>
                <w:sz w:val="24"/>
                <w:szCs w:val="24"/>
                <w:lang w:val="id-ID"/>
              </w:rPr>
              <w:t>11,7</w:t>
            </w:r>
          </w:p>
        </w:tc>
        <w:tc>
          <w:tcPr>
            <w:tcW w:w="2268" w:type="dxa"/>
            <w:tcBorders>
              <w:top w:val="nil"/>
              <w:left w:val="nil"/>
              <w:bottom w:val="single" w:sz="4" w:space="0" w:color="auto"/>
              <w:right w:val="single" w:sz="4" w:space="0" w:color="auto"/>
            </w:tcBorders>
            <w:noWrap/>
            <w:vAlign w:val="center"/>
            <w:hideMark/>
          </w:tcPr>
          <w:p w14:paraId="39F6E691" w14:textId="77777777" w:rsidR="000E74CF" w:rsidRPr="005701DC" w:rsidRDefault="000E74CF" w:rsidP="008B7B5C">
            <w:pPr>
              <w:spacing w:line="240" w:lineRule="auto"/>
              <w:jc w:val="right"/>
              <w:rPr>
                <w:rFonts w:ascii="Calibri" w:hAnsi="Calibri" w:cs="Calibri"/>
                <w:color w:val="000000"/>
                <w:sz w:val="24"/>
                <w:szCs w:val="24"/>
                <w:lang w:val="id-ID"/>
              </w:rPr>
            </w:pPr>
            <w:r w:rsidRPr="005701DC">
              <w:rPr>
                <w:rFonts w:ascii="Calibri" w:hAnsi="Calibri" w:cs="Calibri"/>
                <w:color w:val="000000"/>
                <w:sz w:val="24"/>
                <w:szCs w:val="24"/>
              </w:rPr>
              <w:t>4,62</w:t>
            </w:r>
          </w:p>
        </w:tc>
      </w:tr>
      <w:tr w:rsidR="000E74CF" w:rsidRPr="005701DC" w14:paraId="6F95433D" w14:textId="77777777" w:rsidTr="008B7B5C">
        <w:trPr>
          <w:trHeight w:val="340"/>
          <w:jc w:val="center"/>
        </w:trPr>
        <w:tc>
          <w:tcPr>
            <w:tcW w:w="1880" w:type="dxa"/>
            <w:tcBorders>
              <w:top w:val="nil"/>
              <w:left w:val="single" w:sz="4" w:space="0" w:color="auto"/>
              <w:bottom w:val="single" w:sz="4" w:space="0" w:color="auto"/>
              <w:right w:val="single" w:sz="4" w:space="0" w:color="auto"/>
            </w:tcBorders>
            <w:noWrap/>
            <w:vAlign w:val="bottom"/>
            <w:hideMark/>
          </w:tcPr>
          <w:p w14:paraId="7C8D7C6A" w14:textId="77777777" w:rsidR="000E74CF" w:rsidRPr="005701DC" w:rsidRDefault="000E74CF" w:rsidP="008B7B5C">
            <w:pPr>
              <w:spacing w:line="240" w:lineRule="auto"/>
              <w:jc w:val="both"/>
              <w:rPr>
                <w:rFonts w:ascii="Calibri" w:hAnsi="Calibri" w:cs="Calibri"/>
                <w:color w:val="000000"/>
                <w:sz w:val="24"/>
                <w:szCs w:val="24"/>
                <w:lang w:val="id-ID"/>
              </w:rPr>
            </w:pPr>
            <w:r w:rsidRPr="005701DC">
              <w:rPr>
                <w:rFonts w:ascii="Calibri" w:hAnsi="Calibri" w:cs="Calibri"/>
                <w:color w:val="000000"/>
                <w:sz w:val="24"/>
                <w:szCs w:val="24"/>
                <w:lang w:val="id-ID"/>
              </w:rPr>
              <w:t>Amerika Serikat</w:t>
            </w:r>
          </w:p>
        </w:tc>
        <w:tc>
          <w:tcPr>
            <w:tcW w:w="3785" w:type="dxa"/>
            <w:tcBorders>
              <w:top w:val="nil"/>
              <w:left w:val="nil"/>
              <w:bottom w:val="single" w:sz="4" w:space="0" w:color="auto"/>
              <w:right w:val="single" w:sz="4" w:space="0" w:color="auto"/>
            </w:tcBorders>
            <w:noWrap/>
            <w:vAlign w:val="center"/>
            <w:hideMark/>
          </w:tcPr>
          <w:p w14:paraId="5AEAF9F3" w14:textId="77777777" w:rsidR="000E74CF" w:rsidRPr="005701DC" w:rsidRDefault="000E74CF" w:rsidP="008B7B5C">
            <w:pPr>
              <w:spacing w:line="240" w:lineRule="auto"/>
              <w:jc w:val="right"/>
              <w:rPr>
                <w:rFonts w:ascii="Calibri" w:hAnsi="Calibri" w:cs="Calibri"/>
                <w:color w:val="000000"/>
                <w:sz w:val="24"/>
                <w:szCs w:val="24"/>
                <w:lang w:val="id-ID"/>
              </w:rPr>
            </w:pPr>
            <w:r w:rsidRPr="005701DC">
              <w:rPr>
                <w:rFonts w:ascii="Calibri" w:hAnsi="Calibri" w:cs="Calibri"/>
                <w:color w:val="000000"/>
                <w:sz w:val="24"/>
                <w:szCs w:val="24"/>
                <w:lang w:val="id-ID"/>
              </w:rPr>
              <w:t>11,7</w:t>
            </w:r>
          </w:p>
        </w:tc>
        <w:tc>
          <w:tcPr>
            <w:tcW w:w="2268" w:type="dxa"/>
            <w:tcBorders>
              <w:top w:val="nil"/>
              <w:left w:val="nil"/>
              <w:bottom w:val="single" w:sz="4" w:space="0" w:color="auto"/>
              <w:right w:val="single" w:sz="4" w:space="0" w:color="auto"/>
            </w:tcBorders>
            <w:noWrap/>
            <w:vAlign w:val="center"/>
            <w:hideMark/>
          </w:tcPr>
          <w:p w14:paraId="0383BA78" w14:textId="77777777" w:rsidR="000E74CF" w:rsidRPr="005701DC" w:rsidRDefault="000E74CF" w:rsidP="008B7B5C">
            <w:pPr>
              <w:spacing w:line="240" w:lineRule="auto"/>
              <w:jc w:val="right"/>
              <w:rPr>
                <w:rFonts w:ascii="Calibri" w:hAnsi="Calibri" w:cs="Calibri"/>
                <w:color w:val="000000"/>
                <w:sz w:val="24"/>
                <w:szCs w:val="24"/>
                <w:lang w:val="id-ID"/>
              </w:rPr>
            </w:pPr>
            <w:r w:rsidRPr="005701DC">
              <w:rPr>
                <w:rFonts w:ascii="Calibri" w:hAnsi="Calibri" w:cs="Calibri"/>
                <w:color w:val="000000"/>
                <w:sz w:val="24"/>
                <w:szCs w:val="24"/>
              </w:rPr>
              <w:t>4,61</w:t>
            </w:r>
          </w:p>
        </w:tc>
      </w:tr>
      <w:tr w:rsidR="000E74CF" w:rsidRPr="005701DC" w14:paraId="501B7BFC" w14:textId="77777777" w:rsidTr="008B7B5C">
        <w:trPr>
          <w:trHeight w:val="340"/>
          <w:jc w:val="center"/>
        </w:trPr>
        <w:tc>
          <w:tcPr>
            <w:tcW w:w="1880" w:type="dxa"/>
            <w:tcBorders>
              <w:top w:val="nil"/>
              <w:left w:val="single" w:sz="4" w:space="0" w:color="auto"/>
              <w:bottom w:val="single" w:sz="4" w:space="0" w:color="auto"/>
              <w:right w:val="single" w:sz="4" w:space="0" w:color="auto"/>
            </w:tcBorders>
            <w:noWrap/>
            <w:vAlign w:val="bottom"/>
            <w:hideMark/>
          </w:tcPr>
          <w:p w14:paraId="4C417D76" w14:textId="77777777" w:rsidR="000E74CF" w:rsidRPr="005701DC" w:rsidRDefault="000E74CF" w:rsidP="008B7B5C">
            <w:pPr>
              <w:spacing w:line="240" w:lineRule="auto"/>
              <w:jc w:val="both"/>
              <w:rPr>
                <w:rFonts w:ascii="Calibri" w:hAnsi="Calibri" w:cs="Calibri"/>
                <w:color w:val="000000"/>
                <w:sz w:val="24"/>
                <w:szCs w:val="24"/>
                <w:lang w:val="id-ID"/>
              </w:rPr>
            </w:pPr>
            <w:r w:rsidRPr="005701DC">
              <w:rPr>
                <w:rFonts w:ascii="Calibri" w:hAnsi="Calibri" w:cs="Calibri"/>
                <w:color w:val="000000"/>
                <w:sz w:val="24"/>
                <w:szCs w:val="24"/>
                <w:lang w:val="id-ID"/>
              </w:rPr>
              <w:t>Jepang</w:t>
            </w:r>
          </w:p>
        </w:tc>
        <w:tc>
          <w:tcPr>
            <w:tcW w:w="3785" w:type="dxa"/>
            <w:tcBorders>
              <w:top w:val="nil"/>
              <w:left w:val="nil"/>
              <w:bottom w:val="single" w:sz="4" w:space="0" w:color="auto"/>
              <w:right w:val="single" w:sz="4" w:space="0" w:color="auto"/>
            </w:tcBorders>
            <w:noWrap/>
            <w:vAlign w:val="center"/>
            <w:hideMark/>
          </w:tcPr>
          <w:p w14:paraId="0776ECEA" w14:textId="77777777" w:rsidR="000E74CF" w:rsidRPr="005701DC" w:rsidRDefault="000E74CF" w:rsidP="008B7B5C">
            <w:pPr>
              <w:spacing w:line="240" w:lineRule="auto"/>
              <w:jc w:val="right"/>
              <w:rPr>
                <w:rFonts w:ascii="Calibri" w:hAnsi="Calibri" w:cs="Calibri"/>
                <w:color w:val="000000"/>
                <w:sz w:val="24"/>
                <w:szCs w:val="24"/>
                <w:lang w:val="id-ID"/>
              </w:rPr>
            </w:pPr>
            <w:r w:rsidRPr="005701DC">
              <w:rPr>
                <w:rFonts w:ascii="Calibri" w:hAnsi="Calibri" w:cs="Calibri"/>
                <w:color w:val="000000"/>
                <w:sz w:val="24"/>
                <w:szCs w:val="24"/>
                <w:lang w:val="id-ID"/>
              </w:rPr>
              <w:t>10,8</w:t>
            </w:r>
          </w:p>
        </w:tc>
        <w:tc>
          <w:tcPr>
            <w:tcW w:w="2268" w:type="dxa"/>
            <w:tcBorders>
              <w:top w:val="nil"/>
              <w:left w:val="nil"/>
              <w:bottom w:val="single" w:sz="4" w:space="0" w:color="auto"/>
              <w:right w:val="single" w:sz="4" w:space="0" w:color="auto"/>
            </w:tcBorders>
            <w:noWrap/>
            <w:vAlign w:val="center"/>
            <w:hideMark/>
          </w:tcPr>
          <w:p w14:paraId="786B86B3" w14:textId="77777777" w:rsidR="000E74CF" w:rsidRPr="005701DC" w:rsidRDefault="000E74CF" w:rsidP="008B7B5C">
            <w:pPr>
              <w:spacing w:line="240" w:lineRule="auto"/>
              <w:jc w:val="right"/>
              <w:rPr>
                <w:rFonts w:ascii="Calibri" w:hAnsi="Calibri" w:cs="Calibri"/>
                <w:color w:val="000000"/>
                <w:sz w:val="24"/>
                <w:szCs w:val="24"/>
                <w:lang w:val="id-ID"/>
              </w:rPr>
            </w:pPr>
            <w:r w:rsidRPr="005701DC">
              <w:rPr>
                <w:rFonts w:ascii="Calibri" w:hAnsi="Calibri" w:cs="Calibri"/>
                <w:color w:val="000000"/>
                <w:sz w:val="24"/>
                <w:szCs w:val="24"/>
              </w:rPr>
              <w:t>4,28</w:t>
            </w:r>
          </w:p>
        </w:tc>
      </w:tr>
      <w:tr w:rsidR="000E74CF" w:rsidRPr="005701DC" w14:paraId="17F8F951" w14:textId="77777777" w:rsidTr="008B7B5C">
        <w:trPr>
          <w:trHeight w:val="340"/>
          <w:jc w:val="center"/>
        </w:trPr>
        <w:tc>
          <w:tcPr>
            <w:tcW w:w="1880" w:type="dxa"/>
            <w:tcBorders>
              <w:top w:val="nil"/>
              <w:left w:val="single" w:sz="4" w:space="0" w:color="auto"/>
              <w:bottom w:val="single" w:sz="4" w:space="0" w:color="auto"/>
              <w:right w:val="single" w:sz="4" w:space="0" w:color="auto"/>
            </w:tcBorders>
            <w:noWrap/>
            <w:vAlign w:val="bottom"/>
            <w:hideMark/>
          </w:tcPr>
          <w:p w14:paraId="49704F3C" w14:textId="77777777" w:rsidR="000E74CF" w:rsidRPr="005701DC" w:rsidRDefault="000E74CF" w:rsidP="008B7B5C">
            <w:pPr>
              <w:spacing w:line="240" w:lineRule="auto"/>
              <w:jc w:val="both"/>
              <w:rPr>
                <w:rFonts w:ascii="Calibri" w:hAnsi="Calibri" w:cs="Calibri"/>
                <w:color w:val="000000"/>
                <w:sz w:val="24"/>
                <w:szCs w:val="24"/>
                <w:lang w:val="id-ID"/>
              </w:rPr>
            </w:pPr>
            <w:r w:rsidRPr="005701DC">
              <w:rPr>
                <w:rFonts w:ascii="Calibri" w:hAnsi="Calibri" w:cs="Calibri"/>
                <w:color w:val="000000"/>
                <w:sz w:val="24"/>
                <w:szCs w:val="24"/>
                <w:lang w:val="id-ID"/>
              </w:rPr>
              <w:t>Swiss</w:t>
            </w:r>
          </w:p>
        </w:tc>
        <w:tc>
          <w:tcPr>
            <w:tcW w:w="3785" w:type="dxa"/>
            <w:tcBorders>
              <w:top w:val="nil"/>
              <w:left w:val="nil"/>
              <w:bottom w:val="single" w:sz="4" w:space="0" w:color="auto"/>
              <w:right w:val="single" w:sz="4" w:space="0" w:color="auto"/>
            </w:tcBorders>
            <w:noWrap/>
            <w:vAlign w:val="center"/>
            <w:hideMark/>
          </w:tcPr>
          <w:p w14:paraId="749C7EB8" w14:textId="77777777" w:rsidR="000E74CF" w:rsidRPr="005701DC" w:rsidRDefault="000E74CF" w:rsidP="008B7B5C">
            <w:pPr>
              <w:spacing w:line="240" w:lineRule="auto"/>
              <w:jc w:val="right"/>
              <w:rPr>
                <w:rFonts w:ascii="Calibri" w:hAnsi="Calibri" w:cs="Calibri"/>
                <w:color w:val="000000"/>
                <w:sz w:val="24"/>
                <w:szCs w:val="24"/>
                <w:lang w:val="id-ID"/>
              </w:rPr>
            </w:pPr>
            <w:r w:rsidRPr="005701DC">
              <w:rPr>
                <w:rFonts w:ascii="Calibri" w:hAnsi="Calibri" w:cs="Calibri"/>
                <w:color w:val="000000"/>
                <w:sz w:val="24"/>
                <w:szCs w:val="24"/>
                <w:lang w:val="id-ID"/>
              </w:rPr>
              <w:t>10,6</w:t>
            </w:r>
          </w:p>
        </w:tc>
        <w:tc>
          <w:tcPr>
            <w:tcW w:w="2268" w:type="dxa"/>
            <w:tcBorders>
              <w:top w:val="nil"/>
              <w:left w:val="nil"/>
              <w:bottom w:val="single" w:sz="4" w:space="0" w:color="auto"/>
              <w:right w:val="single" w:sz="4" w:space="0" w:color="auto"/>
            </w:tcBorders>
            <w:noWrap/>
            <w:vAlign w:val="center"/>
            <w:hideMark/>
          </w:tcPr>
          <w:p w14:paraId="32B65573" w14:textId="77777777" w:rsidR="000E74CF" w:rsidRPr="005701DC" w:rsidRDefault="000E74CF" w:rsidP="008B7B5C">
            <w:pPr>
              <w:spacing w:line="240" w:lineRule="auto"/>
              <w:jc w:val="right"/>
              <w:rPr>
                <w:rFonts w:ascii="Calibri" w:hAnsi="Calibri" w:cs="Calibri"/>
                <w:color w:val="000000"/>
                <w:sz w:val="24"/>
                <w:szCs w:val="24"/>
                <w:lang w:val="id-ID"/>
              </w:rPr>
            </w:pPr>
            <w:r w:rsidRPr="005701DC">
              <w:rPr>
                <w:rFonts w:ascii="Calibri" w:hAnsi="Calibri" w:cs="Calibri"/>
                <w:color w:val="000000"/>
                <w:sz w:val="24"/>
                <w:szCs w:val="24"/>
              </w:rPr>
              <w:t>4,19</w:t>
            </w:r>
          </w:p>
        </w:tc>
      </w:tr>
      <w:tr w:rsidR="000E74CF" w:rsidRPr="005701DC" w14:paraId="3F2D80F9" w14:textId="77777777" w:rsidTr="008B7B5C">
        <w:trPr>
          <w:trHeight w:val="340"/>
          <w:jc w:val="center"/>
        </w:trPr>
        <w:tc>
          <w:tcPr>
            <w:tcW w:w="1880" w:type="dxa"/>
            <w:tcBorders>
              <w:top w:val="nil"/>
              <w:left w:val="single" w:sz="4" w:space="0" w:color="auto"/>
              <w:bottom w:val="single" w:sz="4" w:space="0" w:color="auto"/>
              <w:right w:val="single" w:sz="4" w:space="0" w:color="auto"/>
            </w:tcBorders>
            <w:noWrap/>
            <w:vAlign w:val="bottom"/>
            <w:hideMark/>
          </w:tcPr>
          <w:p w14:paraId="4581586A" w14:textId="77777777" w:rsidR="000E74CF" w:rsidRPr="005701DC" w:rsidRDefault="000E74CF" w:rsidP="008B7B5C">
            <w:pPr>
              <w:spacing w:line="240" w:lineRule="auto"/>
              <w:jc w:val="both"/>
              <w:rPr>
                <w:rFonts w:ascii="Calibri" w:hAnsi="Calibri" w:cs="Calibri"/>
                <w:color w:val="000000"/>
                <w:sz w:val="24"/>
                <w:szCs w:val="24"/>
                <w:lang w:val="id-ID"/>
              </w:rPr>
            </w:pPr>
            <w:r w:rsidRPr="005701DC">
              <w:rPr>
                <w:rFonts w:ascii="Calibri" w:hAnsi="Calibri" w:cs="Calibri"/>
                <w:color w:val="000000"/>
                <w:sz w:val="24"/>
                <w:szCs w:val="24"/>
                <w:lang w:val="id-ID"/>
              </w:rPr>
              <w:t>Belgia</w:t>
            </w:r>
          </w:p>
        </w:tc>
        <w:tc>
          <w:tcPr>
            <w:tcW w:w="3785" w:type="dxa"/>
            <w:tcBorders>
              <w:top w:val="nil"/>
              <w:left w:val="nil"/>
              <w:bottom w:val="single" w:sz="4" w:space="0" w:color="auto"/>
              <w:right w:val="single" w:sz="4" w:space="0" w:color="auto"/>
            </w:tcBorders>
            <w:noWrap/>
            <w:vAlign w:val="center"/>
            <w:hideMark/>
          </w:tcPr>
          <w:p w14:paraId="0E29B8FF" w14:textId="77777777" w:rsidR="000E74CF" w:rsidRPr="005701DC" w:rsidRDefault="000E74CF" w:rsidP="008B7B5C">
            <w:pPr>
              <w:spacing w:line="240" w:lineRule="auto"/>
              <w:jc w:val="right"/>
              <w:rPr>
                <w:rFonts w:ascii="Calibri" w:hAnsi="Calibri" w:cs="Calibri"/>
                <w:color w:val="000000"/>
                <w:sz w:val="24"/>
                <w:szCs w:val="24"/>
                <w:lang w:val="id-ID"/>
              </w:rPr>
            </w:pPr>
            <w:r w:rsidRPr="005701DC">
              <w:rPr>
                <w:rFonts w:ascii="Calibri" w:hAnsi="Calibri" w:cs="Calibri"/>
                <w:color w:val="000000"/>
                <w:sz w:val="24"/>
                <w:szCs w:val="24"/>
                <w:lang w:val="id-ID"/>
              </w:rPr>
              <w:t>9,4</w:t>
            </w:r>
          </w:p>
        </w:tc>
        <w:tc>
          <w:tcPr>
            <w:tcW w:w="2268" w:type="dxa"/>
            <w:tcBorders>
              <w:top w:val="nil"/>
              <w:left w:val="nil"/>
              <w:bottom w:val="single" w:sz="4" w:space="0" w:color="auto"/>
              <w:right w:val="single" w:sz="4" w:space="0" w:color="auto"/>
            </w:tcBorders>
            <w:noWrap/>
            <w:vAlign w:val="center"/>
            <w:hideMark/>
          </w:tcPr>
          <w:p w14:paraId="71AAC3FC" w14:textId="77777777" w:rsidR="000E74CF" w:rsidRPr="005701DC" w:rsidRDefault="000E74CF" w:rsidP="008B7B5C">
            <w:pPr>
              <w:spacing w:line="240" w:lineRule="auto"/>
              <w:jc w:val="right"/>
              <w:rPr>
                <w:rFonts w:ascii="Calibri" w:hAnsi="Calibri" w:cs="Calibri"/>
                <w:color w:val="000000"/>
                <w:sz w:val="24"/>
                <w:szCs w:val="24"/>
                <w:lang w:val="id-ID"/>
              </w:rPr>
            </w:pPr>
            <w:r w:rsidRPr="005701DC">
              <w:rPr>
                <w:rFonts w:ascii="Calibri" w:hAnsi="Calibri" w:cs="Calibri"/>
                <w:color w:val="000000"/>
                <w:sz w:val="24"/>
                <w:szCs w:val="24"/>
              </w:rPr>
              <w:t>3,70</w:t>
            </w:r>
          </w:p>
        </w:tc>
      </w:tr>
      <w:tr w:rsidR="000E74CF" w:rsidRPr="005701DC" w14:paraId="60FDCEB7" w14:textId="77777777" w:rsidTr="008B7B5C">
        <w:trPr>
          <w:trHeight w:val="300"/>
          <w:jc w:val="center"/>
        </w:trPr>
        <w:tc>
          <w:tcPr>
            <w:tcW w:w="1880" w:type="dxa"/>
            <w:tcBorders>
              <w:top w:val="nil"/>
              <w:left w:val="single" w:sz="4" w:space="0" w:color="auto"/>
              <w:bottom w:val="single" w:sz="4" w:space="0" w:color="auto"/>
              <w:right w:val="single" w:sz="4" w:space="0" w:color="auto"/>
            </w:tcBorders>
            <w:noWrap/>
            <w:vAlign w:val="bottom"/>
            <w:hideMark/>
          </w:tcPr>
          <w:p w14:paraId="4FB9B5FC" w14:textId="77777777" w:rsidR="000E74CF" w:rsidRPr="005701DC" w:rsidRDefault="000E74CF" w:rsidP="008B7B5C">
            <w:pPr>
              <w:spacing w:line="240" w:lineRule="auto"/>
              <w:jc w:val="both"/>
              <w:rPr>
                <w:rFonts w:ascii="Calibri" w:hAnsi="Calibri" w:cs="Calibri"/>
                <w:color w:val="000000"/>
                <w:sz w:val="24"/>
                <w:szCs w:val="24"/>
                <w:lang w:val="id-ID"/>
              </w:rPr>
            </w:pPr>
            <w:r w:rsidRPr="005701DC">
              <w:rPr>
                <w:rFonts w:ascii="Calibri" w:hAnsi="Calibri" w:cs="Calibri"/>
                <w:color w:val="000000"/>
                <w:sz w:val="24"/>
                <w:szCs w:val="24"/>
                <w:lang w:val="id-ID"/>
              </w:rPr>
              <w:t>Negara Lain</w:t>
            </w:r>
          </w:p>
        </w:tc>
        <w:tc>
          <w:tcPr>
            <w:tcW w:w="3785" w:type="dxa"/>
            <w:tcBorders>
              <w:top w:val="nil"/>
              <w:left w:val="nil"/>
              <w:bottom w:val="single" w:sz="4" w:space="0" w:color="auto"/>
              <w:right w:val="single" w:sz="4" w:space="0" w:color="auto"/>
            </w:tcBorders>
            <w:noWrap/>
            <w:vAlign w:val="center"/>
            <w:hideMark/>
          </w:tcPr>
          <w:p w14:paraId="2287631C" w14:textId="77777777" w:rsidR="000E74CF" w:rsidRPr="005701DC" w:rsidRDefault="000E74CF" w:rsidP="008B7B5C">
            <w:pPr>
              <w:spacing w:line="240" w:lineRule="auto"/>
              <w:jc w:val="right"/>
              <w:rPr>
                <w:rFonts w:ascii="Calibri" w:hAnsi="Calibri" w:cs="Calibri"/>
                <w:color w:val="000000"/>
                <w:sz w:val="24"/>
                <w:szCs w:val="24"/>
                <w:lang w:val="id-ID"/>
              </w:rPr>
            </w:pPr>
            <w:r w:rsidRPr="005701DC">
              <w:rPr>
                <w:rFonts w:ascii="Calibri" w:hAnsi="Calibri" w:cs="Calibri"/>
                <w:color w:val="000000"/>
                <w:sz w:val="24"/>
                <w:szCs w:val="24"/>
                <w:lang w:val="id-ID"/>
              </w:rPr>
              <w:t>113,0</w:t>
            </w:r>
          </w:p>
        </w:tc>
        <w:tc>
          <w:tcPr>
            <w:tcW w:w="2268" w:type="dxa"/>
            <w:tcBorders>
              <w:top w:val="nil"/>
              <w:left w:val="nil"/>
              <w:bottom w:val="single" w:sz="4" w:space="0" w:color="auto"/>
              <w:right w:val="single" w:sz="4" w:space="0" w:color="auto"/>
            </w:tcBorders>
            <w:noWrap/>
            <w:vAlign w:val="center"/>
            <w:hideMark/>
          </w:tcPr>
          <w:p w14:paraId="3EF1E57D" w14:textId="77777777" w:rsidR="000E74CF" w:rsidRPr="005701DC" w:rsidRDefault="000E74CF" w:rsidP="008B7B5C">
            <w:pPr>
              <w:spacing w:line="240" w:lineRule="auto"/>
              <w:jc w:val="right"/>
              <w:rPr>
                <w:rFonts w:ascii="Calibri" w:hAnsi="Calibri" w:cs="Calibri"/>
                <w:color w:val="000000"/>
                <w:sz w:val="24"/>
                <w:szCs w:val="24"/>
                <w:lang w:val="id-ID"/>
              </w:rPr>
            </w:pPr>
            <w:r w:rsidRPr="005701DC">
              <w:rPr>
                <w:rFonts w:ascii="Calibri" w:hAnsi="Calibri" w:cs="Calibri"/>
                <w:color w:val="000000"/>
                <w:sz w:val="24"/>
                <w:szCs w:val="24"/>
              </w:rPr>
              <w:t>44,70</w:t>
            </w:r>
          </w:p>
        </w:tc>
      </w:tr>
      <w:tr w:rsidR="000E74CF" w:rsidRPr="005701DC" w14:paraId="3F45F9A5" w14:textId="77777777" w:rsidTr="008B7B5C">
        <w:trPr>
          <w:trHeight w:val="300"/>
          <w:jc w:val="center"/>
        </w:trPr>
        <w:tc>
          <w:tcPr>
            <w:tcW w:w="1880" w:type="dxa"/>
            <w:tcBorders>
              <w:top w:val="nil"/>
              <w:left w:val="single" w:sz="4" w:space="0" w:color="auto"/>
              <w:bottom w:val="single" w:sz="4" w:space="0" w:color="auto"/>
              <w:right w:val="single" w:sz="4" w:space="0" w:color="auto"/>
            </w:tcBorders>
            <w:noWrap/>
            <w:vAlign w:val="bottom"/>
            <w:hideMark/>
          </w:tcPr>
          <w:p w14:paraId="03F02850" w14:textId="77777777" w:rsidR="000E74CF" w:rsidRPr="00973028" w:rsidRDefault="000E74CF" w:rsidP="008B7B5C">
            <w:pPr>
              <w:spacing w:line="240" w:lineRule="auto"/>
              <w:jc w:val="both"/>
              <w:rPr>
                <w:rFonts w:ascii="Calibri" w:hAnsi="Calibri" w:cs="Calibri"/>
                <w:b/>
                <w:bCs/>
                <w:color w:val="000000"/>
                <w:sz w:val="24"/>
                <w:szCs w:val="24"/>
                <w:lang w:val="id-ID"/>
              </w:rPr>
            </w:pPr>
            <w:r w:rsidRPr="00973028">
              <w:rPr>
                <w:rFonts w:ascii="Calibri" w:hAnsi="Calibri" w:cs="Calibri"/>
                <w:b/>
                <w:bCs/>
                <w:color w:val="000000"/>
                <w:sz w:val="24"/>
                <w:szCs w:val="24"/>
                <w:lang w:val="id-ID"/>
              </w:rPr>
              <w:t>Total</w:t>
            </w:r>
          </w:p>
        </w:tc>
        <w:tc>
          <w:tcPr>
            <w:tcW w:w="3785" w:type="dxa"/>
            <w:tcBorders>
              <w:top w:val="nil"/>
              <w:left w:val="nil"/>
              <w:bottom w:val="single" w:sz="4" w:space="0" w:color="auto"/>
              <w:right w:val="single" w:sz="4" w:space="0" w:color="auto"/>
            </w:tcBorders>
            <w:noWrap/>
            <w:vAlign w:val="center"/>
            <w:hideMark/>
          </w:tcPr>
          <w:p w14:paraId="2F4732C5" w14:textId="77777777" w:rsidR="000E74CF" w:rsidRPr="00973028" w:rsidRDefault="000E74CF" w:rsidP="008B7B5C">
            <w:pPr>
              <w:spacing w:line="240" w:lineRule="auto"/>
              <w:jc w:val="right"/>
              <w:rPr>
                <w:rFonts w:ascii="Calibri" w:hAnsi="Calibri" w:cs="Calibri"/>
                <w:b/>
                <w:bCs/>
                <w:color w:val="000000"/>
                <w:sz w:val="24"/>
                <w:szCs w:val="24"/>
                <w:lang w:val="id-ID"/>
              </w:rPr>
            </w:pPr>
            <w:r w:rsidRPr="00973028">
              <w:rPr>
                <w:rFonts w:ascii="Calibri" w:hAnsi="Calibri" w:cs="Calibri"/>
                <w:b/>
                <w:bCs/>
                <w:color w:val="000000"/>
                <w:sz w:val="24"/>
                <w:szCs w:val="24"/>
                <w:lang w:val="id-ID"/>
              </w:rPr>
              <w:t>252,9</w:t>
            </w:r>
          </w:p>
        </w:tc>
        <w:tc>
          <w:tcPr>
            <w:tcW w:w="2268" w:type="dxa"/>
            <w:tcBorders>
              <w:top w:val="nil"/>
              <w:left w:val="nil"/>
              <w:bottom w:val="single" w:sz="4" w:space="0" w:color="auto"/>
              <w:right w:val="single" w:sz="4" w:space="0" w:color="auto"/>
            </w:tcBorders>
            <w:noWrap/>
            <w:vAlign w:val="center"/>
            <w:hideMark/>
          </w:tcPr>
          <w:p w14:paraId="597381C3" w14:textId="77777777" w:rsidR="000E74CF" w:rsidRPr="00973028" w:rsidRDefault="000E74CF" w:rsidP="008B7B5C">
            <w:pPr>
              <w:spacing w:line="240" w:lineRule="auto"/>
              <w:jc w:val="right"/>
              <w:rPr>
                <w:rFonts w:ascii="Calibri" w:hAnsi="Calibri" w:cs="Calibri"/>
                <w:b/>
                <w:bCs/>
                <w:color w:val="000000"/>
                <w:sz w:val="24"/>
                <w:szCs w:val="24"/>
                <w:lang w:val="id-ID"/>
              </w:rPr>
            </w:pPr>
            <w:r w:rsidRPr="00973028">
              <w:rPr>
                <w:rFonts w:ascii="Calibri" w:hAnsi="Calibri" w:cs="Calibri"/>
                <w:b/>
                <w:bCs/>
                <w:color w:val="000000"/>
                <w:sz w:val="24"/>
                <w:szCs w:val="24"/>
              </w:rPr>
              <w:t>100,00</w:t>
            </w:r>
          </w:p>
        </w:tc>
      </w:tr>
    </w:tbl>
    <w:p w14:paraId="4CDA2313" w14:textId="0D72D28B" w:rsidR="000E74CF" w:rsidRPr="000E74CF" w:rsidRDefault="000E74CF" w:rsidP="000E74CF">
      <w:pPr>
        <w:spacing w:after="240" w:line="240" w:lineRule="auto"/>
        <w:ind w:left="993"/>
        <w:jc w:val="both"/>
        <w:rPr>
          <w:rFonts w:ascii="Calibri" w:hAnsi="Calibri" w:cs="Calibri"/>
          <w:sz w:val="20"/>
          <w:szCs w:val="20"/>
          <w:lang w:val="id-ID"/>
        </w:rPr>
      </w:pPr>
      <w:r w:rsidRPr="00D72D25">
        <w:rPr>
          <w:rFonts w:ascii="Calibri" w:hAnsi="Calibri" w:cs="Calibri"/>
          <w:sz w:val="20"/>
          <w:szCs w:val="20"/>
          <w:lang w:val="id-ID"/>
        </w:rPr>
        <w:t xml:space="preserve"> Sumber: </w:t>
      </w:r>
      <w:r>
        <w:rPr>
          <w:rFonts w:ascii="Calibri" w:hAnsi="Calibri" w:cs="Calibri"/>
          <w:sz w:val="20"/>
          <w:szCs w:val="20"/>
          <w:lang w:val="id-ID"/>
        </w:rPr>
        <w:t xml:space="preserve">NEXT Indonesia mengolah dari data </w:t>
      </w:r>
      <w:r w:rsidRPr="00D72D25">
        <w:rPr>
          <w:rFonts w:ascii="Calibri" w:hAnsi="Calibri" w:cs="Calibri"/>
          <w:sz w:val="20"/>
          <w:szCs w:val="20"/>
          <w:lang w:val="id-ID"/>
        </w:rPr>
        <w:t xml:space="preserve">UN </w:t>
      </w:r>
      <w:proofErr w:type="spellStart"/>
      <w:r w:rsidRPr="00D72D25">
        <w:rPr>
          <w:rFonts w:ascii="Calibri" w:hAnsi="Calibri" w:cs="Calibri"/>
          <w:sz w:val="20"/>
          <w:szCs w:val="20"/>
          <w:lang w:val="id-ID"/>
        </w:rPr>
        <w:t>Comtrade</w:t>
      </w:r>
      <w:proofErr w:type="spellEnd"/>
    </w:p>
    <w:p w14:paraId="67806984" w14:textId="77777777" w:rsidR="000E74CF" w:rsidRPr="00945E9C" w:rsidRDefault="000E74CF" w:rsidP="000E74CF">
      <w:pPr>
        <w:spacing w:after="80"/>
        <w:rPr>
          <w:rFonts w:ascii="Cambria" w:hAnsi="Cambria"/>
          <w:sz w:val="24"/>
          <w:szCs w:val="24"/>
          <w:lang w:val="id-ID"/>
        </w:rPr>
      </w:pPr>
      <w:r w:rsidRPr="00945E9C">
        <w:rPr>
          <w:rFonts w:ascii="Cambria" w:hAnsi="Cambria"/>
          <w:sz w:val="24"/>
          <w:szCs w:val="24"/>
          <w:lang w:val="id-ID"/>
        </w:rPr>
        <w:t>-----------------------------------------------------------------------------------------------------------------</w:t>
      </w:r>
    </w:p>
    <w:p w14:paraId="445CD015" w14:textId="77777777" w:rsidR="000E74CF" w:rsidRPr="00514CEC" w:rsidRDefault="000E74CF" w:rsidP="000E74CF">
      <w:pPr>
        <w:spacing w:after="80"/>
        <w:rPr>
          <w:rFonts w:ascii="Calibri" w:hAnsi="Calibri" w:cs="Calibri"/>
          <w:b/>
          <w:bCs/>
          <w:sz w:val="20"/>
          <w:szCs w:val="20"/>
          <w:lang w:val="id-ID"/>
        </w:rPr>
      </w:pPr>
      <w:r w:rsidRPr="00514CEC">
        <w:rPr>
          <w:rFonts w:ascii="Calibri" w:hAnsi="Calibri" w:cs="Calibri"/>
          <w:b/>
          <w:bCs/>
          <w:sz w:val="20"/>
          <w:szCs w:val="20"/>
          <w:lang w:val="id-ID"/>
        </w:rPr>
        <w:t>NEXT Indonesia Center</w:t>
      </w:r>
    </w:p>
    <w:p w14:paraId="37A79B62" w14:textId="77777777" w:rsidR="000E74CF" w:rsidRPr="00514CEC" w:rsidRDefault="000E74CF" w:rsidP="000E74CF">
      <w:pPr>
        <w:spacing w:after="80"/>
        <w:jc w:val="both"/>
        <w:rPr>
          <w:rFonts w:ascii="Calibri" w:hAnsi="Calibri" w:cs="Calibri"/>
          <w:sz w:val="18"/>
          <w:szCs w:val="18"/>
          <w:lang w:val="id-ID"/>
        </w:rPr>
      </w:pPr>
      <w:r w:rsidRPr="00514CEC">
        <w:rPr>
          <w:rFonts w:ascii="Calibri" w:hAnsi="Calibri" w:cs="Calibri"/>
          <w:sz w:val="18"/>
          <w:szCs w:val="18"/>
          <w:lang w:val="id-ID"/>
        </w:rPr>
        <w:t xml:space="preserve">NEXT Indonesia Center adalah lembaga independen dengan konsentrasi di bidang riset dan publikasi. Kami menggabungkan disiplin jurnalistik sebagai penyajian dan disiplin akademik sebagai panduan dalam melakukan riset. </w:t>
      </w:r>
    </w:p>
    <w:p w14:paraId="3400CBB4" w14:textId="77777777" w:rsidR="000E74CF" w:rsidRPr="00514CEC" w:rsidRDefault="000E74CF" w:rsidP="000E74CF">
      <w:pPr>
        <w:spacing w:after="80"/>
        <w:jc w:val="both"/>
        <w:rPr>
          <w:rFonts w:ascii="Calibri" w:hAnsi="Calibri" w:cs="Calibri"/>
          <w:sz w:val="18"/>
          <w:szCs w:val="18"/>
          <w:lang w:val="id-ID"/>
        </w:rPr>
      </w:pPr>
      <w:r w:rsidRPr="00514CEC">
        <w:rPr>
          <w:rFonts w:ascii="Calibri" w:hAnsi="Calibri" w:cs="Calibri"/>
          <w:sz w:val="18"/>
          <w:szCs w:val="18"/>
          <w:lang w:val="id-ID"/>
        </w:rPr>
        <w:t>Konsentrasi kegiatan riset dan publikasi kami, terutama di bidang ekonomi, sosial</w:t>
      </w:r>
      <w:r>
        <w:rPr>
          <w:rFonts w:ascii="Calibri" w:hAnsi="Calibri" w:cs="Calibri"/>
          <w:sz w:val="18"/>
          <w:szCs w:val="18"/>
        </w:rPr>
        <w:t xml:space="preserve"> </w:t>
      </w:r>
      <w:r w:rsidRPr="00514CEC">
        <w:rPr>
          <w:rFonts w:ascii="Calibri" w:hAnsi="Calibri" w:cs="Calibri"/>
          <w:sz w:val="18"/>
          <w:szCs w:val="18"/>
          <w:lang w:val="id-ID"/>
        </w:rPr>
        <w:t>dan kebijakan publik. Kami membantu para pemangku kepentingan agar lebih tepat dalam mengambil kebijakan strategis, baik untuk organisasi pemerintah, korporasi, organisasi masyarakat sipil, maupun lembaga lain dan individu.</w:t>
      </w:r>
    </w:p>
    <w:p w14:paraId="1D938EB6" w14:textId="77777777" w:rsidR="000E74CF" w:rsidRPr="00514CEC" w:rsidRDefault="000E74CF" w:rsidP="000E74CF">
      <w:pPr>
        <w:spacing w:after="80"/>
        <w:rPr>
          <w:rFonts w:ascii="Calibri" w:hAnsi="Calibri" w:cs="Calibri"/>
          <w:b/>
          <w:sz w:val="20"/>
          <w:szCs w:val="20"/>
          <w:lang w:val="en-ID"/>
        </w:rPr>
      </w:pPr>
      <w:proofErr w:type="spellStart"/>
      <w:r w:rsidRPr="00514CEC">
        <w:rPr>
          <w:rFonts w:ascii="Calibri" w:hAnsi="Calibri" w:cs="Calibri"/>
          <w:b/>
          <w:sz w:val="20"/>
          <w:szCs w:val="20"/>
          <w:lang w:val="en-ID"/>
        </w:rPr>
        <w:t>Narahubung</w:t>
      </w:r>
      <w:proofErr w:type="spellEnd"/>
      <w:r w:rsidRPr="00514CEC">
        <w:rPr>
          <w:rFonts w:ascii="Calibri" w:hAnsi="Calibri" w:cs="Calibri"/>
          <w:b/>
          <w:sz w:val="20"/>
          <w:szCs w:val="20"/>
          <w:lang w:val="en-ID"/>
        </w:rPr>
        <w:t>:</w:t>
      </w:r>
    </w:p>
    <w:p w14:paraId="40D6992F" w14:textId="77777777" w:rsidR="000E74CF" w:rsidRPr="00514CEC" w:rsidRDefault="000E74CF" w:rsidP="000E74CF">
      <w:pPr>
        <w:spacing w:after="80"/>
        <w:rPr>
          <w:rFonts w:ascii="Calibri" w:hAnsi="Calibri" w:cs="Calibri"/>
          <w:sz w:val="20"/>
          <w:szCs w:val="20"/>
          <w:lang w:val="en-ID"/>
        </w:rPr>
      </w:pPr>
      <w:r w:rsidRPr="00514CEC">
        <w:rPr>
          <w:rFonts w:ascii="Calibri" w:hAnsi="Calibri" w:cs="Calibri"/>
          <w:sz w:val="20"/>
          <w:szCs w:val="20"/>
          <w:lang w:val="en-ID"/>
        </w:rPr>
        <w:t xml:space="preserve">Research Coordinator Next Indonesia </w:t>
      </w:r>
      <w:proofErr w:type="spellStart"/>
      <w:r w:rsidRPr="00514CEC">
        <w:rPr>
          <w:rFonts w:ascii="Calibri" w:hAnsi="Calibri" w:cs="Calibri"/>
          <w:sz w:val="20"/>
          <w:szCs w:val="20"/>
          <w:lang w:val="en-ID"/>
        </w:rPr>
        <w:t>Center</w:t>
      </w:r>
      <w:proofErr w:type="spellEnd"/>
      <w:r w:rsidRPr="00514CEC">
        <w:rPr>
          <w:rFonts w:ascii="Calibri" w:hAnsi="Calibri" w:cs="Calibri"/>
          <w:sz w:val="20"/>
          <w:szCs w:val="20"/>
          <w:lang w:val="en-ID"/>
        </w:rPr>
        <w:t>,</w:t>
      </w:r>
    </w:p>
    <w:p w14:paraId="03BF7B57" w14:textId="77777777" w:rsidR="000E74CF" w:rsidRPr="00514CEC" w:rsidRDefault="000E74CF" w:rsidP="000E74CF">
      <w:pPr>
        <w:spacing w:after="80"/>
        <w:rPr>
          <w:rFonts w:ascii="Calibri" w:hAnsi="Calibri" w:cs="Calibri"/>
          <w:sz w:val="18"/>
          <w:szCs w:val="18"/>
          <w:lang w:val="en-ID"/>
        </w:rPr>
      </w:pPr>
      <w:r w:rsidRPr="00514CEC">
        <w:rPr>
          <w:rFonts w:ascii="Calibri" w:hAnsi="Calibri" w:cs="Calibri"/>
          <w:sz w:val="18"/>
          <w:szCs w:val="18"/>
          <w:lang w:val="en-ID"/>
        </w:rPr>
        <w:t xml:space="preserve">Phone: </w:t>
      </w:r>
      <w:hyperlink r:id="rId6" w:history="1">
        <w:r w:rsidRPr="00514CEC">
          <w:rPr>
            <w:rStyle w:val="Hyperlink"/>
            <w:rFonts w:ascii="Calibri" w:hAnsi="Calibri" w:cs="Calibri"/>
            <w:sz w:val="18"/>
            <w:szCs w:val="18"/>
          </w:rPr>
          <w:t>+62 823-1016-5120</w:t>
        </w:r>
      </w:hyperlink>
    </w:p>
    <w:p w14:paraId="63EB7538" w14:textId="77777777" w:rsidR="000E74CF" w:rsidRPr="00C77C97" w:rsidRDefault="000E74CF" w:rsidP="000E74CF">
      <w:pPr>
        <w:spacing w:line="240" w:lineRule="auto"/>
        <w:jc w:val="both"/>
        <w:rPr>
          <w:rFonts w:ascii="Calibri" w:eastAsia="Calibri" w:hAnsi="Calibri" w:cs="Calibri"/>
          <w:sz w:val="24"/>
          <w:szCs w:val="24"/>
          <w:lang w:val="id-ID"/>
        </w:rPr>
      </w:pPr>
    </w:p>
    <w:p w14:paraId="6FC4A940" w14:textId="77777777" w:rsidR="00C36602" w:rsidRDefault="00C36602"/>
    <w:sectPr w:rsidR="00C36602" w:rsidSect="007E3513">
      <w:headerReference w:type="default" r:id="rId7"/>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0F970" w14:textId="77777777" w:rsidR="0088652B" w:rsidRDefault="0088652B">
      <w:pPr>
        <w:spacing w:after="0" w:line="240" w:lineRule="auto"/>
      </w:pPr>
      <w:r>
        <w:separator/>
      </w:r>
    </w:p>
  </w:endnote>
  <w:endnote w:type="continuationSeparator" w:id="0">
    <w:p w14:paraId="4FC54278" w14:textId="77777777" w:rsidR="0088652B" w:rsidRDefault="0088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erif">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90BAE" w14:textId="77777777" w:rsidR="0088652B" w:rsidRDefault="0088652B">
      <w:pPr>
        <w:spacing w:after="0" w:line="240" w:lineRule="auto"/>
      </w:pPr>
      <w:r>
        <w:separator/>
      </w:r>
    </w:p>
  </w:footnote>
  <w:footnote w:type="continuationSeparator" w:id="0">
    <w:p w14:paraId="5FF9DBAA" w14:textId="77777777" w:rsidR="0088652B" w:rsidRDefault="00886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05309" w14:textId="77777777" w:rsidR="00562DDA" w:rsidRPr="00562DDA" w:rsidRDefault="000E74CF" w:rsidP="00562DDA">
    <w:pPr>
      <w:pStyle w:val="Header"/>
      <w:jc w:val="right"/>
      <w:rPr>
        <w:b/>
        <w:bCs/>
        <w:sz w:val="18"/>
        <w:szCs w:val="18"/>
      </w:rPr>
    </w:pPr>
    <w:r>
      <w:rPr>
        <w:noProof/>
      </w:rPr>
      <w:drawing>
        <wp:anchor distT="0" distB="0" distL="114300" distR="114300" simplePos="0" relativeHeight="251659264" behindDoc="0" locked="0" layoutInCell="1" allowOverlap="1" wp14:anchorId="38A504EE" wp14:editId="2DBAF933">
          <wp:simplePos x="0" y="0"/>
          <wp:positionH relativeFrom="column">
            <wp:posOffset>-267335</wp:posOffset>
          </wp:positionH>
          <wp:positionV relativeFrom="paragraph">
            <wp:posOffset>-314325</wp:posOffset>
          </wp:positionV>
          <wp:extent cx="1495425" cy="876300"/>
          <wp:effectExtent l="0" t="0" r="0" b="0"/>
          <wp:wrapThrough wrapText="bothSides">
            <wp:wrapPolygon edited="0">
              <wp:start x="7154" y="6104"/>
              <wp:lineTo x="4127" y="7043"/>
              <wp:lineTo x="3852" y="12209"/>
              <wp:lineTo x="4678" y="15026"/>
              <wp:lineTo x="6054" y="15026"/>
              <wp:lineTo x="17060" y="14087"/>
              <wp:lineTo x="17335" y="7513"/>
              <wp:lineTo x="8255" y="6104"/>
              <wp:lineTo x="7154" y="6104"/>
            </wp:wrapPolygon>
          </wp:wrapThrough>
          <wp:docPr id="430997874" name="Picture 1" descr="A logo with blue and pink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004844" name="Picture 1" descr="A logo with blue and pink colo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95425" cy="876300"/>
                  </a:xfrm>
                  <a:prstGeom prst="rect">
                    <a:avLst/>
                  </a:prstGeom>
                </pic:spPr>
              </pic:pic>
            </a:graphicData>
          </a:graphic>
          <wp14:sizeRelH relativeFrom="page">
            <wp14:pctWidth>0</wp14:pctWidth>
          </wp14:sizeRelH>
          <wp14:sizeRelV relativeFrom="page">
            <wp14:pctHeight>0</wp14:pctHeight>
          </wp14:sizeRelV>
        </wp:anchor>
      </w:drawing>
    </w:r>
    <w:r>
      <w:t xml:space="preserve">            </w:t>
    </w:r>
    <w:proofErr w:type="spellStart"/>
    <w:r w:rsidRPr="00562DDA">
      <w:rPr>
        <w:b/>
        <w:bCs/>
        <w:sz w:val="18"/>
        <w:szCs w:val="18"/>
      </w:rPr>
      <w:t>Siaran</w:t>
    </w:r>
    <w:proofErr w:type="spellEnd"/>
    <w:r w:rsidRPr="00562DDA">
      <w:rPr>
        <w:b/>
        <w:bCs/>
        <w:sz w:val="18"/>
        <w:szCs w:val="18"/>
      </w:rPr>
      <w:t xml:space="preserve"> Pers</w:t>
    </w:r>
  </w:p>
  <w:p w14:paraId="406E3924" w14:textId="77777777" w:rsidR="00562DDA" w:rsidRPr="00562DDA" w:rsidRDefault="000E74CF" w:rsidP="00562DDA">
    <w:pPr>
      <w:pStyle w:val="Header"/>
      <w:jc w:val="right"/>
      <w:rPr>
        <w:sz w:val="18"/>
        <w:szCs w:val="18"/>
      </w:rPr>
    </w:pPr>
    <w:proofErr w:type="spellStart"/>
    <w:r w:rsidRPr="00562DDA">
      <w:rPr>
        <w:sz w:val="18"/>
        <w:szCs w:val="18"/>
      </w:rPr>
      <w:t>Untuk</w:t>
    </w:r>
    <w:proofErr w:type="spellEnd"/>
    <w:r w:rsidRPr="00562DDA">
      <w:rPr>
        <w:sz w:val="18"/>
        <w:szCs w:val="18"/>
      </w:rPr>
      <w:t xml:space="preserve"> </w:t>
    </w:r>
    <w:proofErr w:type="spellStart"/>
    <w:r w:rsidRPr="00562DDA">
      <w:rPr>
        <w:sz w:val="18"/>
        <w:szCs w:val="18"/>
      </w:rPr>
      <w:t>Segera</w:t>
    </w:r>
    <w:proofErr w:type="spellEnd"/>
    <w:r w:rsidRPr="00562DDA">
      <w:rPr>
        <w:sz w:val="18"/>
        <w:szCs w:val="18"/>
      </w:rPr>
      <w:t xml:space="preserve"> </w:t>
    </w:r>
    <w:proofErr w:type="spellStart"/>
    <w:r w:rsidRPr="00562DDA">
      <w:rPr>
        <w:sz w:val="18"/>
        <w:szCs w:val="18"/>
      </w:rPr>
      <w:t>Disiarkan</w:t>
    </w:r>
    <w:proofErr w:type="spellEnd"/>
  </w:p>
  <w:p w14:paraId="5F92EEBF" w14:textId="6438C3C4" w:rsidR="00562DDA" w:rsidRDefault="006B36B7" w:rsidP="00562DDA">
    <w:pPr>
      <w:pStyle w:val="Header"/>
      <w:jc w:val="right"/>
    </w:pPr>
    <w:r>
      <w:rPr>
        <w:sz w:val="18"/>
        <w:szCs w:val="18"/>
      </w:rPr>
      <w:t>Rabu</w:t>
    </w:r>
    <w:r w:rsidR="000E74CF" w:rsidRPr="00562DDA">
      <w:rPr>
        <w:sz w:val="18"/>
        <w:szCs w:val="18"/>
      </w:rPr>
      <w:t xml:space="preserve">, </w:t>
    </w:r>
    <w:r>
      <w:rPr>
        <w:sz w:val="18"/>
        <w:szCs w:val="18"/>
      </w:rPr>
      <w:t>10</w:t>
    </w:r>
    <w:r w:rsidR="000E74CF">
      <w:rPr>
        <w:sz w:val="18"/>
        <w:szCs w:val="18"/>
      </w:rPr>
      <w:t xml:space="preserve"> </w:t>
    </w:r>
    <w:r w:rsidR="0004315A">
      <w:rPr>
        <w:sz w:val="18"/>
        <w:szCs w:val="18"/>
      </w:rPr>
      <w:t>September</w:t>
    </w:r>
    <w:r w:rsidR="000E74CF" w:rsidRPr="00562DDA">
      <w:rPr>
        <w:sz w:val="18"/>
        <w:szCs w:val="18"/>
      </w:rPr>
      <w:t xml:space="preserv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CF"/>
    <w:rsid w:val="0004315A"/>
    <w:rsid w:val="000E74CF"/>
    <w:rsid w:val="00566D05"/>
    <w:rsid w:val="006B36B7"/>
    <w:rsid w:val="0088652B"/>
    <w:rsid w:val="00C366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52026CE4"/>
  <w15:chartTrackingRefBased/>
  <w15:docId w15:val="{99318052-D430-6248-BF65-FC50F5D0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CF"/>
    <w:pPr>
      <w:spacing w:after="160" w:line="259" w:lineRule="auto"/>
    </w:pPr>
    <w:rPr>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4CF"/>
    <w:rPr>
      <w:kern w:val="2"/>
      <w:sz w:val="22"/>
      <w:szCs w:val="22"/>
      <w:lang w:val="en-US"/>
      <w14:ligatures w14:val="standardContextual"/>
    </w:rPr>
  </w:style>
  <w:style w:type="character" w:styleId="Hyperlink">
    <w:name w:val="Hyperlink"/>
    <w:basedOn w:val="DefaultParagraphFont"/>
    <w:uiPriority w:val="99"/>
    <w:unhideWhenUsed/>
    <w:rsid w:val="000E74CF"/>
    <w:rPr>
      <w:color w:val="0563C1" w:themeColor="hyperlink"/>
      <w:u w:val="single"/>
    </w:rPr>
  </w:style>
  <w:style w:type="table" w:styleId="TableGrid">
    <w:name w:val="Table Grid"/>
    <w:basedOn w:val="TableNormal"/>
    <w:uiPriority w:val="39"/>
    <w:rsid w:val="000E74CF"/>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43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15A"/>
    <w:rPr>
      <w:kern w:val="2"/>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alto:+012(345)6789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2025-09-09T10:32:00Z</dcterms:created>
  <dcterms:modified xsi:type="dcterms:W3CDTF">2025-09-09T18:08:00Z</dcterms:modified>
</cp:coreProperties>
</file>