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048F0" w14:textId="77777777" w:rsidR="00E01740" w:rsidRPr="00E01740" w:rsidRDefault="00E01740" w:rsidP="00BE3B46">
      <w:pPr>
        <w:pStyle w:val="NormalWeb"/>
        <w:spacing w:before="0" w:beforeAutospacing="0" w:after="0" w:afterAutospacing="0"/>
        <w:textAlignment w:val="baseline"/>
        <w:rPr>
          <w:rFonts w:ascii="Calibri" w:hAnsi="Calibri" w:cs="Calibri"/>
          <w:b/>
          <w:bCs/>
          <w:color w:val="000000"/>
          <w:sz w:val="28"/>
          <w:szCs w:val="28"/>
          <w:lang w:val="id-ID"/>
        </w:rPr>
      </w:pPr>
    </w:p>
    <w:p w14:paraId="7F8C1B40" w14:textId="7777777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4589239D" w14:textId="77777777" w:rsidR="000155D3" w:rsidRPr="000155D3" w:rsidRDefault="000155D3" w:rsidP="000155D3">
      <w:pPr>
        <w:spacing w:line="240" w:lineRule="auto"/>
        <w:jc w:val="center"/>
        <w:rPr>
          <w:rFonts w:ascii="Calibri" w:hAnsi="Calibri" w:cs="Calibri"/>
          <w:b/>
          <w:bCs/>
          <w:sz w:val="28"/>
          <w:szCs w:val="28"/>
          <w:lang w:val="id-ID"/>
        </w:rPr>
      </w:pPr>
      <w:r w:rsidRPr="000155D3">
        <w:rPr>
          <w:rFonts w:ascii="Calibri" w:hAnsi="Calibri" w:cs="Calibri"/>
          <w:b/>
          <w:bCs/>
          <w:sz w:val="28"/>
          <w:szCs w:val="28"/>
          <w:lang w:val="id-ID"/>
        </w:rPr>
        <w:t>Repatriasi Aset Dibayangi Modus Penghindaran Pajak</w:t>
      </w:r>
    </w:p>
    <w:p w14:paraId="51FAC01E" w14:textId="77777777" w:rsidR="000155D3" w:rsidRDefault="000155D3" w:rsidP="000155D3">
      <w:pPr>
        <w:spacing w:line="240" w:lineRule="auto"/>
        <w:jc w:val="both"/>
        <w:rPr>
          <w:rFonts w:ascii="Calibri" w:hAnsi="Calibri" w:cs="Calibri"/>
          <w:sz w:val="24"/>
          <w:szCs w:val="24"/>
          <w:lang w:val="id-ID"/>
        </w:rPr>
      </w:pPr>
    </w:p>
    <w:p w14:paraId="3F77AFBB" w14:textId="7C47C901" w:rsidR="000155D3" w:rsidRDefault="000155D3" w:rsidP="000155D3">
      <w:pPr>
        <w:spacing w:line="240" w:lineRule="auto"/>
        <w:jc w:val="both"/>
        <w:rPr>
          <w:rFonts w:ascii="Calibri" w:hAnsi="Calibri" w:cs="Calibri"/>
          <w:sz w:val="24"/>
          <w:szCs w:val="24"/>
          <w:lang w:val="id-ID"/>
        </w:rPr>
      </w:pPr>
      <w:r w:rsidRPr="00CF3D29">
        <w:rPr>
          <w:rFonts w:ascii="Calibri" w:hAnsi="Calibri" w:cs="Calibri"/>
          <w:b/>
          <w:bCs/>
          <w:sz w:val="24"/>
          <w:szCs w:val="24"/>
          <w:lang w:val="id-ID"/>
        </w:rPr>
        <w:t>Jakarta</w:t>
      </w:r>
      <w:r>
        <w:rPr>
          <w:rFonts w:ascii="Calibri" w:hAnsi="Calibri" w:cs="Calibri"/>
          <w:sz w:val="24"/>
          <w:szCs w:val="24"/>
          <w:lang w:val="id-ID"/>
        </w:rPr>
        <w:t xml:space="preserve"> – Kebijakan pemerintah</w:t>
      </w:r>
      <w:r w:rsidRPr="001A7389">
        <w:rPr>
          <w:rFonts w:ascii="Calibri" w:hAnsi="Calibri" w:cs="Calibri"/>
          <w:sz w:val="24"/>
          <w:szCs w:val="24"/>
          <w:lang w:val="id-ID"/>
        </w:rPr>
        <w:t xml:space="preserve"> </w:t>
      </w:r>
      <w:r>
        <w:rPr>
          <w:rFonts w:ascii="Calibri" w:hAnsi="Calibri" w:cs="Calibri"/>
          <w:sz w:val="24"/>
          <w:szCs w:val="24"/>
          <w:lang w:val="id-ID"/>
        </w:rPr>
        <w:t xml:space="preserve">yang </w:t>
      </w:r>
      <w:r w:rsidRPr="001A7389">
        <w:rPr>
          <w:rFonts w:ascii="Calibri" w:hAnsi="Calibri" w:cs="Calibri"/>
          <w:sz w:val="24"/>
          <w:szCs w:val="24"/>
          <w:lang w:val="id-ID"/>
        </w:rPr>
        <w:t>meminta warga negara Indonesia (WNI) yang menyimpan hartanya di luar negeri untuk segera melakukan repatriasi aset</w:t>
      </w:r>
      <w:r>
        <w:rPr>
          <w:rFonts w:ascii="Calibri" w:hAnsi="Calibri" w:cs="Calibri"/>
          <w:sz w:val="24"/>
          <w:szCs w:val="24"/>
          <w:lang w:val="id-ID"/>
        </w:rPr>
        <w:t xml:space="preserve"> sangat sulit berhasil sepanjang hanya mengandalkan pemeriksaan dokumen. Direktorat Jenderal Pajak harus punya kiat khusus yang dapat mengidentifikasi aset yang sesungguhnya aga modus penghindaran pajak dapat dihindari.</w:t>
      </w:r>
    </w:p>
    <w:p w14:paraId="4CDE60E0" w14:textId="68F72B7D" w:rsidR="000155D3" w:rsidRPr="001A7389"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Repatriasi aset merupakan proses pengembalian atau pemindahan aset, harta, atau dana milik warga negara maupun perusahaan dari luar negeri kembali ke negara asalnya.</w:t>
      </w:r>
      <w:r>
        <w:rPr>
          <w:rFonts w:ascii="Calibri" w:hAnsi="Calibri" w:cs="Calibri"/>
          <w:sz w:val="24"/>
          <w:szCs w:val="24"/>
          <w:lang w:val="id-ID"/>
        </w:rPr>
        <w:t xml:space="preserve"> </w:t>
      </w:r>
      <w:r w:rsidRPr="001A7389">
        <w:rPr>
          <w:rFonts w:ascii="Calibri" w:hAnsi="Calibri" w:cs="Calibri"/>
          <w:sz w:val="24"/>
          <w:szCs w:val="24"/>
          <w:lang w:val="id-ID"/>
        </w:rPr>
        <w:t xml:space="preserve">Menteri Keuangan Purbaya Yudhi Sadewa telah memberikan tenggat waktu maksimal enam bulan bagi wajib pajak untuk melaporkan dan merepatriasi asetnya. Setelah masa tersebut berakhir, pemerintah disebut akan melakukan pemeriksaan secara menyeluruh terhadap dana luar negeri yang belum dilaporkan sesuai ketentuan perpajakan. </w:t>
      </w:r>
    </w:p>
    <w:p w14:paraId="08A333C2" w14:textId="6D4C4BA0" w:rsidR="000155D3"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Selain itu, Purbaya juga mengingatkan konsekuensi bagi yang tidak mematuhi aturan ini berupa pemeriksaan pajak menyeluruh. Salah satunya ancamannya, pelaku bisnis yang masih menyimpan dana di luar negeri akan kehilangan akses untuk berbisnis di Tanah Air.</w:t>
      </w:r>
    </w:p>
    <w:p w14:paraId="7C5AD5D9" w14:textId="22FE2493" w:rsidR="000155D3" w:rsidRDefault="000155D3" w:rsidP="000155D3">
      <w:pPr>
        <w:spacing w:line="240" w:lineRule="auto"/>
        <w:jc w:val="both"/>
        <w:rPr>
          <w:rFonts w:ascii="Calibri" w:hAnsi="Calibri" w:cs="Calibri"/>
          <w:sz w:val="24"/>
          <w:szCs w:val="24"/>
          <w:lang w:val="id-ID"/>
        </w:rPr>
      </w:pPr>
      <w:r>
        <w:rPr>
          <w:rFonts w:ascii="Calibri" w:hAnsi="Calibri" w:cs="Calibri"/>
          <w:sz w:val="24"/>
          <w:szCs w:val="24"/>
          <w:lang w:val="id-ID"/>
        </w:rPr>
        <w:t xml:space="preserve">Kepala Riset </w:t>
      </w:r>
      <w:r w:rsidRPr="001A7389">
        <w:rPr>
          <w:rFonts w:ascii="Calibri" w:hAnsi="Calibri" w:cs="Calibri"/>
          <w:sz w:val="24"/>
          <w:szCs w:val="24"/>
          <w:lang w:val="id-ID"/>
        </w:rPr>
        <w:t xml:space="preserve">NEXT Indonesia Center Ade Holis </w:t>
      </w:r>
      <w:r>
        <w:rPr>
          <w:rFonts w:ascii="Calibri" w:hAnsi="Calibri" w:cs="Calibri"/>
          <w:sz w:val="24"/>
          <w:szCs w:val="24"/>
          <w:lang w:val="id-ID"/>
        </w:rPr>
        <w:t>mengingatkan, selama ini sistem pelaporan pajak dilakukan secara sukarela oleh wajib pajak. Kalau Direktorat Jenderal Pajak hanya berpatokan pada dokumen pelaporan, baik pelaporan pajak maupun laporan keuangan, terlalu sulit untuk berharap program tersebut bisa berhasil.</w:t>
      </w:r>
    </w:p>
    <w:p w14:paraId="57415789" w14:textId="0ACDE12A" w:rsidR="000155D3" w:rsidRPr="001A7389" w:rsidRDefault="000155D3" w:rsidP="000155D3">
      <w:pPr>
        <w:spacing w:line="240" w:lineRule="auto"/>
        <w:jc w:val="both"/>
        <w:rPr>
          <w:rFonts w:ascii="Calibri" w:hAnsi="Calibri" w:cs="Calibri"/>
          <w:sz w:val="24"/>
          <w:szCs w:val="24"/>
          <w:lang w:val="id-ID"/>
        </w:rPr>
      </w:pPr>
      <w:r>
        <w:rPr>
          <w:rFonts w:ascii="Calibri" w:hAnsi="Calibri" w:cs="Calibri"/>
          <w:sz w:val="24"/>
          <w:szCs w:val="24"/>
          <w:lang w:val="id-ID"/>
        </w:rPr>
        <w:t>Karena itu, dia</w:t>
      </w:r>
      <w:r w:rsidRPr="001A7389">
        <w:rPr>
          <w:rFonts w:ascii="Calibri" w:hAnsi="Calibri" w:cs="Calibri"/>
          <w:sz w:val="24"/>
          <w:szCs w:val="24"/>
          <w:lang w:val="id-ID"/>
        </w:rPr>
        <w:t xml:space="preserve"> </w:t>
      </w:r>
      <w:r>
        <w:rPr>
          <w:rFonts w:ascii="Calibri" w:hAnsi="Calibri" w:cs="Calibri"/>
          <w:sz w:val="24"/>
          <w:szCs w:val="24"/>
          <w:lang w:val="id-ID"/>
        </w:rPr>
        <w:t>menyarankan</w:t>
      </w:r>
      <w:r w:rsidRPr="001A7389">
        <w:rPr>
          <w:rFonts w:ascii="Calibri" w:hAnsi="Calibri" w:cs="Calibri"/>
          <w:sz w:val="24"/>
          <w:szCs w:val="24"/>
          <w:lang w:val="id-ID"/>
        </w:rPr>
        <w:t xml:space="preserve"> agar pemerintah tidak hanya mengandalkan pengungkapan dokumen secara sukarela dari wajib pajak.</w:t>
      </w:r>
      <w:r>
        <w:rPr>
          <w:rFonts w:ascii="Calibri" w:hAnsi="Calibri" w:cs="Calibri"/>
          <w:sz w:val="24"/>
          <w:szCs w:val="24"/>
          <w:lang w:val="id-ID"/>
        </w:rPr>
        <w:t xml:space="preserve"> </w:t>
      </w:r>
      <w:r w:rsidRPr="001A7389">
        <w:rPr>
          <w:rFonts w:ascii="Calibri" w:hAnsi="Calibri" w:cs="Calibri"/>
          <w:sz w:val="24"/>
          <w:szCs w:val="24"/>
          <w:lang w:val="id-ID"/>
        </w:rPr>
        <w:t>“Justru yang dikhawatirkan adalah praktik penghindaran pajak melalui manipulasi dokumen maupun pelaporan nilai aset yang tidak sesuai kondisi sebenarnya,” ujarnya.</w:t>
      </w:r>
    </w:p>
    <w:p w14:paraId="16323BD1" w14:textId="1743BFDB" w:rsidR="000155D3"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Menurut Ade, pemerintah perlu menyiapkan mekanisme verifikasi riil terhadap aset wajib pajak, termasuk melalui pencocokan data kepemilikan aset yang berada di luar negeri. Langkah tersebut dinilai penting agar pemerintah dapat memetakan penerimaan pajak secara lebih akurat.</w:t>
      </w:r>
    </w:p>
    <w:p w14:paraId="0C9ABC4A" w14:textId="1D2405DC" w:rsidR="000155D3" w:rsidRDefault="000155D3" w:rsidP="000155D3">
      <w:pPr>
        <w:spacing w:line="240" w:lineRule="auto"/>
        <w:jc w:val="both"/>
        <w:rPr>
          <w:rFonts w:ascii="Calibri" w:hAnsi="Calibri" w:cs="Calibri"/>
          <w:sz w:val="24"/>
          <w:szCs w:val="24"/>
          <w:lang w:val="id-ID"/>
        </w:rPr>
      </w:pPr>
      <w:r>
        <w:rPr>
          <w:rFonts w:ascii="Calibri" w:hAnsi="Calibri" w:cs="Calibri"/>
          <w:sz w:val="24"/>
          <w:szCs w:val="24"/>
          <w:lang w:val="id-ID"/>
        </w:rPr>
        <w:t xml:space="preserve">Ade Holis memberikan gambaran lebih nyata melalui kasus </w:t>
      </w:r>
      <w:proofErr w:type="spellStart"/>
      <w:r w:rsidRPr="00185CF4">
        <w:rPr>
          <w:rFonts w:ascii="Calibri" w:hAnsi="Calibri" w:cs="Calibri"/>
          <w:i/>
          <w:iCs/>
          <w:sz w:val="24"/>
          <w:szCs w:val="24"/>
          <w:lang w:val="id-ID"/>
        </w:rPr>
        <w:t>misinvoicing</w:t>
      </w:r>
      <w:proofErr w:type="spellEnd"/>
      <w:r>
        <w:rPr>
          <w:rFonts w:ascii="Calibri" w:hAnsi="Calibri" w:cs="Calibri"/>
          <w:sz w:val="24"/>
          <w:szCs w:val="24"/>
          <w:lang w:val="id-ID"/>
        </w:rPr>
        <w:t xml:space="preserve"> dalam ekspor Indonesia. Menurut penelitian NEXT Indonesia Center, dugaan adanya aliran dana gelap –akibat faktur yang tidak sinkron antara negara asal barang dengan negara tujuan ekspor–sekitar US$40,2 miliar per tahun (Periode  2014-2023).</w:t>
      </w:r>
    </w:p>
    <w:p w14:paraId="273629BB" w14:textId="77777777" w:rsidR="000155D3" w:rsidRPr="001A7389" w:rsidRDefault="000155D3" w:rsidP="000155D3">
      <w:pPr>
        <w:spacing w:line="240" w:lineRule="auto"/>
        <w:jc w:val="both"/>
        <w:rPr>
          <w:rFonts w:ascii="Calibri" w:hAnsi="Calibri" w:cs="Calibri"/>
          <w:sz w:val="24"/>
          <w:szCs w:val="24"/>
          <w:lang w:val="id-ID"/>
        </w:rPr>
      </w:pPr>
      <w:r>
        <w:rPr>
          <w:rFonts w:ascii="Calibri" w:hAnsi="Calibri" w:cs="Calibri"/>
          <w:sz w:val="24"/>
          <w:szCs w:val="24"/>
          <w:lang w:val="id-ID"/>
        </w:rPr>
        <w:t xml:space="preserve">Dugaan modusnya, antara lain, eksportir memanipulasi kode barang atau HS Code. Melalui modus manipulasi dokumen ini, harga barang yang diekspor bisa jauh lebih rendah dari seharusnya, sehingga ada potensi penerimaan negara yang hilang. </w:t>
      </w:r>
    </w:p>
    <w:p w14:paraId="63EBA7A9" w14:textId="77777777" w:rsidR="000155D3" w:rsidRPr="001A7389" w:rsidRDefault="000155D3" w:rsidP="000155D3">
      <w:pPr>
        <w:spacing w:line="240" w:lineRule="auto"/>
        <w:jc w:val="both"/>
        <w:rPr>
          <w:rFonts w:ascii="Calibri" w:hAnsi="Calibri" w:cs="Calibri"/>
          <w:sz w:val="24"/>
          <w:szCs w:val="24"/>
          <w:lang w:val="id-ID"/>
        </w:rPr>
      </w:pPr>
    </w:p>
    <w:p w14:paraId="2E1687C7" w14:textId="0A017F79" w:rsidR="000155D3" w:rsidRPr="001A7389" w:rsidRDefault="000155D3" w:rsidP="000155D3">
      <w:pPr>
        <w:spacing w:line="240" w:lineRule="auto"/>
        <w:jc w:val="both"/>
        <w:rPr>
          <w:rFonts w:ascii="Calibri" w:hAnsi="Calibri" w:cs="Calibri"/>
          <w:sz w:val="24"/>
          <w:szCs w:val="24"/>
          <w:lang w:val="id-ID"/>
        </w:rPr>
      </w:pPr>
      <w:r>
        <w:rPr>
          <w:rFonts w:ascii="Calibri" w:hAnsi="Calibri" w:cs="Calibri"/>
          <w:sz w:val="24"/>
          <w:szCs w:val="24"/>
          <w:lang w:val="id-ID"/>
        </w:rPr>
        <w:lastRenderedPageBreak/>
        <w:t xml:space="preserve">Lebih lanjut </w:t>
      </w:r>
      <w:r w:rsidRPr="001A7389">
        <w:rPr>
          <w:rFonts w:ascii="Calibri" w:hAnsi="Calibri" w:cs="Calibri"/>
          <w:sz w:val="24"/>
          <w:szCs w:val="24"/>
          <w:lang w:val="id-ID"/>
        </w:rPr>
        <w:t>Ade</w:t>
      </w:r>
      <w:r>
        <w:rPr>
          <w:rFonts w:ascii="Calibri" w:hAnsi="Calibri" w:cs="Calibri"/>
          <w:sz w:val="24"/>
          <w:szCs w:val="24"/>
          <w:lang w:val="id-ID"/>
        </w:rPr>
        <w:t xml:space="preserve"> mengungkapkan</w:t>
      </w:r>
      <w:r w:rsidRPr="001A7389">
        <w:rPr>
          <w:rFonts w:ascii="Calibri" w:hAnsi="Calibri" w:cs="Calibri"/>
          <w:sz w:val="24"/>
          <w:szCs w:val="24"/>
          <w:lang w:val="id-ID"/>
        </w:rPr>
        <w:t xml:space="preserve">, </w:t>
      </w:r>
      <w:r>
        <w:rPr>
          <w:rFonts w:ascii="Calibri" w:hAnsi="Calibri" w:cs="Calibri"/>
          <w:sz w:val="24"/>
          <w:szCs w:val="24"/>
          <w:lang w:val="id-ID"/>
        </w:rPr>
        <w:t>saat ini ada indikasi yang tidak patut dalam penerimaan perpajakan. M</w:t>
      </w:r>
      <w:r w:rsidRPr="001A7389">
        <w:rPr>
          <w:rFonts w:ascii="Calibri" w:hAnsi="Calibri" w:cs="Calibri"/>
          <w:sz w:val="24"/>
          <w:szCs w:val="24"/>
          <w:lang w:val="id-ID"/>
        </w:rPr>
        <w:t>engacu pada Kementerian Keuangan</w:t>
      </w:r>
      <w:r>
        <w:rPr>
          <w:rFonts w:ascii="Calibri" w:hAnsi="Calibri" w:cs="Calibri"/>
          <w:sz w:val="24"/>
          <w:szCs w:val="24"/>
          <w:lang w:val="id-ID"/>
        </w:rPr>
        <w:t xml:space="preserve">, </w:t>
      </w:r>
      <w:r w:rsidRPr="001A7389">
        <w:rPr>
          <w:rFonts w:ascii="Calibri" w:hAnsi="Calibri" w:cs="Calibri"/>
          <w:sz w:val="24"/>
          <w:szCs w:val="24"/>
          <w:lang w:val="id-ID"/>
        </w:rPr>
        <w:t xml:space="preserve"> pertumbuhan penerimaan perpajakan tahun 2025 </w:t>
      </w:r>
      <w:r>
        <w:rPr>
          <w:rFonts w:ascii="Calibri" w:hAnsi="Calibri" w:cs="Calibri"/>
          <w:sz w:val="24"/>
          <w:szCs w:val="24"/>
          <w:lang w:val="id-ID"/>
        </w:rPr>
        <w:t xml:space="preserve">mengalami kontraksi atau minus </w:t>
      </w:r>
      <w:r w:rsidRPr="001A7389">
        <w:rPr>
          <w:rFonts w:ascii="Calibri" w:hAnsi="Calibri" w:cs="Calibri"/>
          <w:sz w:val="24"/>
          <w:szCs w:val="24"/>
          <w:lang w:val="id-ID"/>
        </w:rPr>
        <w:t xml:space="preserve">0,62% menjadi Rp2.218 triliun dibanding periode yang sama tahun 2024. </w:t>
      </w:r>
      <w:r>
        <w:rPr>
          <w:rFonts w:ascii="Calibri" w:hAnsi="Calibri" w:cs="Calibri"/>
          <w:sz w:val="24"/>
          <w:szCs w:val="24"/>
          <w:lang w:val="id-ID"/>
        </w:rPr>
        <w:t>L</w:t>
      </w:r>
      <w:r w:rsidRPr="001A7389">
        <w:rPr>
          <w:rFonts w:ascii="Calibri" w:hAnsi="Calibri" w:cs="Calibri"/>
          <w:sz w:val="24"/>
          <w:szCs w:val="24"/>
          <w:lang w:val="id-ID"/>
        </w:rPr>
        <w:t xml:space="preserve">ebih mengkhawatirkan </w:t>
      </w:r>
      <w:r>
        <w:rPr>
          <w:rFonts w:ascii="Calibri" w:hAnsi="Calibri" w:cs="Calibri"/>
          <w:sz w:val="24"/>
          <w:szCs w:val="24"/>
          <w:lang w:val="id-ID"/>
        </w:rPr>
        <w:t xml:space="preserve">lagi </w:t>
      </w:r>
      <w:r w:rsidRPr="001A7389">
        <w:rPr>
          <w:rFonts w:ascii="Calibri" w:hAnsi="Calibri" w:cs="Calibri"/>
          <w:sz w:val="24"/>
          <w:szCs w:val="24"/>
          <w:lang w:val="id-ID"/>
        </w:rPr>
        <w:t xml:space="preserve">– pada periode yang sama –  penerimaan Pajak Penghasilan (PPh) Badan </w:t>
      </w:r>
      <w:r>
        <w:rPr>
          <w:rFonts w:ascii="Calibri" w:hAnsi="Calibri" w:cs="Calibri"/>
          <w:sz w:val="24"/>
          <w:szCs w:val="24"/>
          <w:lang w:val="id-ID"/>
        </w:rPr>
        <w:t xml:space="preserve">malah minus </w:t>
      </w:r>
      <w:r w:rsidRPr="001A7389">
        <w:rPr>
          <w:rFonts w:ascii="Calibri" w:hAnsi="Calibri" w:cs="Calibri"/>
          <w:sz w:val="24"/>
          <w:szCs w:val="24"/>
          <w:lang w:val="id-ID"/>
        </w:rPr>
        <w:t>16,97%</w:t>
      </w:r>
      <w:r>
        <w:rPr>
          <w:rFonts w:ascii="Calibri" w:hAnsi="Calibri" w:cs="Calibri"/>
          <w:sz w:val="24"/>
          <w:szCs w:val="24"/>
          <w:lang w:val="id-ID"/>
        </w:rPr>
        <w:t>,</w:t>
      </w:r>
      <w:r w:rsidRPr="001A7389">
        <w:rPr>
          <w:rFonts w:ascii="Calibri" w:hAnsi="Calibri" w:cs="Calibri"/>
          <w:sz w:val="24"/>
          <w:szCs w:val="24"/>
          <w:lang w:val="id-ID"/>
        </w:rPr>
        <w:t xml:space="preserve"> menjadi Rp387 triliun. Hal itu terjadi saat perekonomian Indonesia di sepanjang tahun 2025 mengalami pertumbuhan 5,11% secara tahunan.</w:t>
      </w:r>
      <w:r>
        <w:rPr>
          <w:rFonts w:ascii="Calibri" w:hAnsi="Calibri" w:cs="Calibri"/>
          <w:sz w:val="24"/>
          <w:szCs w:val="24"/>
          <w:lang w:val="id-ID"/>
        </w:rPr>
        <w:t xml:space="preserve"> Penerimaan pajak, khususnya badan, bergerak berlainan arah atau tidak selaras dengan kinerja perekonomian.</w:t>
      </w:r>
    </w:p>
    <w:p w14:paraId="5581928C" w14:textId="7684016C" w:rsidR="000155D3" w:rsidRPr="001A7389"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w:t>
      </w:r>
      <w:r>
        <w:rPr>
          <w:rFonts w:ascii="Calibri" w:hAnsi="Calibri" w:cs="Calibri"/>
          <w:sz w:val="24"/>
          <w:szCs w:val="24"/>
          <w:lang w:val="id-ID"/>
        </w:rPr>
        <w:t>Karena itu</w:t>
      </w:r>
      <w:r w:rsidRPr="001A7389">
        <w:rPr>
          <w:rFonts w:ascii="Calibri" w:hAnsi="Calibri" w:cs="Calibri"/>
          <w:sz w:val="24"/>
          <w:szCs w:val="24"/>
          <w:lang w:val="id-ID"/>
        </w:rPr>
        <w:t>, pemerintah tidak cukup hanya mengandalkan pengungkapan sukarela, tetapi juga perlu memastikan adanya verifikasi riil terhadap aset yang dimiliki wajib pajak,” katanya.</w:t>
      </w:r>
    </w:p>
    <w:p w14:paraId="344A17E4" w14:textId="41377C7A" w:rsidR="000155D3" w:rsidRPr="001A7389"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Repatriasi aset juga perlu diikuti dengan penguatan hukum perpajakan. Ade menilai pemerintah memiliki kewenangan untuk menerbitkan Surat Ketetapan Pajak (SKP) apabila hasil pemeriksaan menemukan adanya kekurangan pembayaran pajak atau harta yang belum dilaporkan sesuai ketentuan.</w:t>
      </w:r>
    </w:p>
    <w:p w14:paraId="5FA9786A" w14:textId="08AF320F" w:rsidR="000155D3" w:rsidRPr="001A7389"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 xml:space="preserve">Ade menambahkan, berdasarkan </w:t>
      </w:r>
      <w:hyperlink r:id="rId7">
        <w:proofErr w:type="spellStart"/>
        <w:r w:rsidRPr="001A7389">
          <w:rPr>
            <w:rFonts w:ascii="Calibri" w:hAnsi="Calibri" w:cs="Calibri"/>
            <w:color w:val="1155CC"/>
            <w:sz w:val="24"/>
            <w:szCs w:val="24"/>
            <w:u w:val="single"/>
            <w:lang w:val="id-ID"/>
          </w:rPr>
          <w:t>Undang-Undang</w:t>
        </w:r>
        <w:proofErr w:type="spellEnd"/>
        <w:r w:rsidRPr="001A7389">
          <w:rPr>
            <w:rFonts w:ascii="Calibri" w:hAnsi="Calibri" w:cs="Calibri"/>
            <w:color w:val="1155CC"/>
            <w:sz w:val="24"/>
            <w:szCs w:val="24"/>
            <w:u w:val="single"/>
            <w:lang w:val="id-ID"/>
          </w:rPr>
          <w:t xml:space="preserve"> Ketentuan Umum dan Tata Cara Perpajakan</w:t>
        </w:r>
      </w:hyperlink>
      <w:r w:rsidRPr="001A7389">
        <w:rPr>
          <w:rFonts w:ascii="Calibri" w:hAnsi="Calibri" w:cs="Calibri"/>
          <w:sz w:val="24"/>
          <w:szCs w:val="24"/>
          <w:lang w:val="id-ID"/>
        </w:rPr>
        <w:t xml:space="preserve"> pemerintah dapat  menerapkan sanksi administrasi berupa bunga, denda administrasi, maupun kenaikan jumlah pajak jika ada temuan kurang bayar pajak.</w:t>
      </w:r>
    </w:p>
    <w:p w14:paraId="037D5433" w14:textId="77777777" w:rsidR="000155D3" w:rsidRPr="001A7389" w:rsidRDefault="000155D3" w:rsidP="000155D3">
      <w:pPr>
        <w:spacing w:line="240" w:lineRule="auto"/>
        <w:jc w:val="both"/>
        <w:rPr>
          <w:rFonts w:ascii="Calibri" w:hAnsi="Calibri" w:cs="Calibri"/>
          <w:sz w:val="24"/>
          <w:szCs w:val="24"/>
          <w:lang w:val="id-ID"/>
        </w:rPr>
      </w:pPr>
      <w:r w:rsidRPr="001A7389">
        <w:rPr>
          <w:rFonts w:ascii="Calibri" w:hAnsi="Calibri" w:cs="Calibri"/>
          <w:sz w:val="24"/>
          <w:szCs w:val="24"/>
          <w:lang w:val="id-ID"/>
        </w:rPr>
        <w:t xml:space="preserve">Terkait ancaman pembatasan bisnis bagi wajib pajak yang enggan melakukan repatriasi, Ade mengingatkan pemerintah tetap perlu memastikan setiap bentuk pembatasan bisnis dilakukan melalui mekanisme hukum dan administrasi yang jelas. Hal ini agar kebijakan perpajakan yang dilakukan tidak mengganggu iklim berusaha di Tanah Air. </w:t>
      </w:r>
    </w:p>
    <w:p w14:paraId="044BDD4F" w14:textId="7777777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5BDFDAC5" w14:textId="7777777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50EA4D78" w14:textId="442025D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20589262" w14:textId="00F474F3"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01F3EDC0" w14:textId="7777777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7FD23D94" w14:textId="77777777" w:rsidR="000155D3" w:rsidRDefault="000155D3" w:rsidP="000C4B8C">
      <w:pPr>
        <w:spacing w:after="0" w:line="240" w:lineRule="auto"/>
        <w:ind w:left="720" w:right="571" w:hanging="11"/>
        <w:jc w:val="center"/>
        <w:textAlignment w:val="baseline"/>
        <w:rPr>
          <w:rFonts w:eastAsia="Times New Roman" w:cstheme="minorHAnsi"/>
          <w:b/>
          <w:bCs/>
          <w:color w:val="000000"/>
          <w:kern w:val="0"/>
          <w:sz w:val="28"/>
          <w:szCs w:val="28"/>
          <w:lang w:val="en-ID"/>
          <w14:ligatures w14:val="none"/>
        </w:rPr>
      </w:pPr>
    </w:p>
    <w:p w14:paraId="399E1926" w14:textId="0063194D" w:rsidR="00D9077C" w:rsidRPr="00E01740" w:rsidRDefault="00D9077C" w:rsidP="00D9077C">
      <w:pPr>
        <w:spacing w:after="80"/>
        <w:rPr>
          <w:rFonts w:cstheme="minorHAnsi"/>
          <w:sz w:val="24"/>
          <w:szCs w:val="24"/>
          <w:lang w:val="id-ID"/>
        </w:rPr>
      </w:pPr>
      <w:r w:rsidRPr="00E01740">
        <w:rPr>
          <w:rFonts w:cstheme="minorHAnsi"/>
          <w:noProof/>
          <w:sz w:val="24"/>
          <w:szCs w:val="24"/>
          <w:lang w:val="id-ID"/>
          <w14:ligatures w14:val="none"/>
        </w:rPr>
        <mc:AlternateContent>
          <mc:Choice Requires="wps">
            <w:drawing>
              <wp:anchor distT="0" distB="0" distL="114300" distR="114300" simplePos="0" relativeHeight="251661312" behindDoc="0" locked="0" layoutInCell="1" allowOverlap="1" wp14:anchorId="4DD7A878" wp14:editId="6566EAE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F70D41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01379256" w14:textId="77777777" w:rsidR="00D9077C" w:rsidRPr="00E01740" w:rsidRDefault="00D9077C" w:rsidP="00382480">
      <w:pPr>
        <w:spacing w:after="0"/>
        <w:rPr>
          <w:rFonts w:cstheme="minorHAnsi"/>
          <w:b/>
          <w:bCs/>
          <w:sz w:val="20"/>
          <w:szCs w:val="20"/>
          <w:lang w:val="id-ID"/>
        </w:rPr>
      </w:pPr>
      <w:r w:rsidRPr="00E01740">
        <w:rPr>
          <w:rFonts w:cstheme="minorHAnsi"/>
          <w:b/>
          <w:bCs/>
          <w:sz w:val="20"/>
          <w:szCs w:val="20"/>
          <w:lang w:val="id-ID"/>
        </w:rPr>
        <w:t>NEXT Indonesia Center</w:t>
      </w:r>
    </w:p>
    <w:p w14:paraId="4BF5A4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AD7E50" w14:textId="77777777" w:rsidR="00D9077C" w:rsidRPr="00E01740" w:rsidRDefault="00D9077C" w:rsidP="00382480">
      <w:pPr>
        <w:spacing w:after="0"/>
        <w:jc w:val="both"/>
        <w:rPr>
          <w:rFonts w:cstheme="minorHAnsi"/>
          <w:sz w:val="20"/>
          <w:szCs w:val="20"/>
          <w:lang w:val="id-ID"/>
        </w:rPr>
      </w:pPr>
      <w:r w:rsidRPr="00E01740">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FD37B8E" w14:textId="77777777" w:rsidR="00D9077C" w:rsidRPr="00E01740" w:rsidRDefault="00D9077C" w:rsidP="00D9077C">
      <w:pPr>
        <w:spacing w:after="80"/>
        <w:jc w:val="both"/>
        <w:rPr>
          <w:rFonts w:cstheme="minorHAnsi"/>
          <w:sz w:val="20"/>
          <w:szCs w:val="20"/>
          <w:lang w:val="id-ID"/>
        </w:rPr>
      </w:pPr>
    </w:p>
    <w:p w14:paraId="6F37F523" w14:textId="77777777" w:rsidR="00D9077C" w:rsidRPr="00E01740" w:rsidRDefault="00D9077C" w:rsidP="00382480">
      <w:pPr>
        <w:spacing w:after="0"/>
        <w:rPr>
          <w:rFonts w:cstheme="minorHAnsi"/>
          <w:b/>
          <w:sz w:val="20"/>
          <w:szCs w:val="20"/>
          <w:lang w:val="id-ID"/>
        </w:rPr>
      </w:pPr>
      <w:proofErr w:type="spellStart"/>
      <w:r w:rsidRPr="00E01740">
        <w:rPr>
          <w:rFonts w:cstheme="minorHAnsi"/>
          <w:b/>
          <w:sz w:val="20"/>
          <w:szCs w:val="20"/>
          <w:lang w:val="id-ID"/>
        </w:rPr>
        <w:t>Narahubung</w:t>
      </w:r>
      <w:proofErr w:type="spellEnd"/>
      <w:r w:rsidRPr="00E01740">
        <w:rPr>
          <w:rFonts w:cstheme="minorHAnsi"/>
          <w:b/>
          <w:sz w:val="20"/>
          <w:szCs w:val="20"/>
          <w:lang w:val="id-ID"/>
        </w:rPr>
        <w:t>:</w:t>
      </w:r>
    </w:p>
    <w:p w14:paraId="50C437F9" w14:textId="77777777" w:rsidR="00D9077C" w:rsidRPr="00E01740" w:rsidRDefault="00D9077C" w:rsidP="00382480">
      <w:pPr>
        <w:spacing w:after="0"/>
        <w:rPr>
          <w:rFonts w:cstheme="minorHAnsi"/>
          <w:sz w:val="20"/>
          <w:szCs w:val="20"/>
          <w:lang w:val="id-ID"/>
        </w:rPr>
      </w:pPr>
      <w:proofErr w:type="spellStart"/>
      <w:r w:rsidRPr="00E01740">
        <w:rPr>
          <w:rFonts w:cstheme="minorHAnsi"/>
          <w:sz w:val="20"/>
          <w:szCs w:val="20"/>
          <w:lang w:val="id-ID"/>
        </w:rPr>
        <w:t>Research</w:t>
      </w:r>
      <w:proofErr w:type="spellEnd"/>
      <w:r w:rsidRPr="00E01740">
        <w:rPr>
          <w:rFonts w:cstheme="minorHAnsi"/>
          <w:sz w:val="20"/>
          <w:szCs w:val="20"/>
          <w:lang w:val="id-ID"/>
        </w:rPr>
        <w:t xml:space="preserve"> </w:t>
      </w:r>
      <w:proofErr w:type="spellStart"/>
      <w:r w:rsidRPr="00E01740">
        <w:rPr>
          <w:rFonts w:cstheme="minorHAnsi"/>
          <w:sz w:val="20"/>
          <w:szCs w:val="20"/>
          <w:lang w:val="id-ID"/>
        </w:rPr>
        <w:t>Coordinator</w:t>
      </w:r>
      <w:proofErr w:type="spellEnd"/>
      <w:r w:rsidRPr="00E01740">
        <w:rPr>
          <w:rFonts w:cstheme="minorHAnsi"/>
          <w:sz w:val="20"/>
          <w:szCs w:val="20"/>
          <w:lang w:val="id-ID"/>
        </w:rPr>
        <w:t xml:space="preserve"> NEXT Indonesia Center,</w:t>
      </w:r>
    </w:p>
    <w:p w14:paraId="12A439D4" w14:textId="77777777" w:rsidR="00D9077C" w:rsidRPr="00E01740" w:rsidRDefault="00D9077C" w:rsidP="00382480">
      <w:pPr>
        <w:spacing w:after="0"/>
        <w:rPr>
          <w:rStyle w:val="Hyperlink"/>
          <w:rFonts w:cstheme="minorHAnsi"/>
          <w:sz w:val="20"/>
          <w:szCs w:val="20"/>
          <w:lang w:val="id-ID"/>
        </w:rPr>
      </w:pPr>
      <w:r w:rsidRPr="00E01740">
        <w:rPr>
          <w:rFonts w:cstheme="minorHAnsi"/>
          <w:sz w:val="20"/>
          <w:szCs w:val="20"/>
          <w:lang w:val="id-ID"/>
        </w:rPr>
        <w:t xml:space="preserve">Phone: </w:t>
      </w:r>
      <w:hyperlink r:id="rId8" w:history="1">
        <w:r w:rsidRPr="00E01740">
          <w:rPr>
            <w:rStyle w:val="Hyperlink"/>
            <w:rFonts w:cstheme="minorHAnsi"/>
            <w:sz w:val="20"/>
            <w:szCs w:val="20"/>
            <w:lang w:val="id-ID"/>
          </w:rPr>
          <w:t>+62 823-1016-5120</w:t>
        </w:r>
      </w:hyperlink>
    </w:p>
    <w:p w14:paraId="32B9A1C4" w14:textId="08BEEA24" w:rsidR="00541E04" w:rsidRPr="00E01740" w:rsidRDefault="00D9077C" w:rsidP="00382480">
      <w:pPr>
        <w:spacing w:after="0"/>
        <w:rPr>
          <w:rFonts w:cstheme="minorHAnsi"/>
          <w:sz w:val="20"/>
          <w:szCs w:val="20"/>
          <w:lang w:val="id-ID"/>
        </w:rPr>
      </w:pPr>
      <w:r w:rsidRPr="00E01740">
        <w:rPr>
          <w:rStyle w:val="Hyperlink"/>
          <w:rFonts w:cstheme="minorHAnsi"/>
          <w:sz w:val="20"/>
          <w:szCs w:val="20"/>
          <w:lang w:val="id-ID"/>
        </w:rPr>
        <w:t>Nextindonesia.id</w:t>
      </w:r>
    </w:p>
    <w:sectPr w:rsidR="00541E04" w:rsidRPr="00E01740" w:rsidSect="00F411C8">
      <w:headerReference w:type="default" r:id="rId9"/>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B781D" w14:textId="77777777" w:rsidR="006336A4" w:rsidRDefault="006336A4" w:rsidP="00E864AB">
      <w:pPr>
        <w:spacing w:after="0" w:line="240" w:lineRule="auto"/>
      </w:pPr>
      <w:r>
        <w:separator/>
      </w:r>
    </w:p>
  </w:endnote>
  <w:endnote w:type="continuationSeparator" w:id="0">
    <w:p w14:paraId="06659ADC" w14:textId="77777777" w:rsidR="006336A4" w:rsidRDefault="006336A4"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2511F" w14:textId="77777777" w:rsidR="006336A4" w:rsidRDefault="006336A4" w:rsidP="00E864AB">
      <w:pPr>
        <w:spacing w:after="0" w:line="240" w:lineRule="auto"/>
      </w:pPr>
      <w:r>
        <w:separator/>
      </w:r>
    </w:p>
  </w:footnote>
  <w:footnote w:type="continuationSeparator" w:id="0">
    <w:p w14:paraId="3F10DAE1" w14:textId="77777777" w:rsidR="006336A4" w:rsidRDefault="006336A4"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1C698F"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1C698F"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5CDF4C87" w:rsidR="001C698F" w:rsidRDefault="000155D3" w:rsidP="00562DDA">
    <w:pPr>
      <w:pStyle w:val="Header"/>
      <w:jc w:val="right"/>
    </w:pPr>
    <w:r>
      <w:rPr>
        <w:sz w:val="18"/>
        <w:szCs w:val="18"/>
      </w:rPr>
      <w:t>Rabu</w:t>
    </w:r>
    <w:r w:rsidR="0066299F">
      <w:rPr>
        <w:sz w:val="18"/>
        <w:szCs w:val="18"/>
      </w:rPr>
      <w:t>,</w:t>
    </w:r>
    <w:r w:rsidR="0066299F" w:rsidRPr="00562DDA">
      <w:rPr>
        <w:sz w:val="18"/>
        <w:szCs w:val="18"/>
      </w:rPr>
      <w:t xml:space="preserve"> </w:t>
    </w:r>
    <w:r w:rsidR="003B761B">
      <w:rPr>
        <w:sz w:val="18"/>
        <w:szCs w:val="18"/>
      </w:rPr>
      <w:t>1</w:t>
    </w:r>
    <w:r>
      <w:rPr>
        <w:sz w:val="18"/>
        <w:szCs w:val="18"/>
      </w:rPr>
      <w:t>3</w:t>
    </w:r>
    <w:r w:rsidR="00CF0B98">
      <w:rPr>
        <w:sz w:val="18"/>
        <w:szCs w:val="18"/>
      </w:rPr>
      <w:t xml:space="preserve"> </w:t>
    </w:r>
    <w:r w:rsidR="00A27EF7">
      <w:rPr>
        <w:sz w:val="18"/>
        <w:szCs w:val="18"/>
      </w:rPr>
      <w:t xml:space="preserve">Mei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963"/>
    <w:multiLevelType w:val="multilevel"/>
    <w:tmpl w:val="EBE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093"/>
    <w:multiLevelType w:val="multilevel"/>
    <w:tmpl w:val="1D2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B77E3"/>
    <w:multiLevelType w:val="multilevel"/>
    <w:tmpl w:val="2818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25D82"/>
    <w:multiLevelType w:val="multilevel"/>
    <w:tmpl w:val="3AC0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47D43"/>
    <w:multiLevelType w:val="multilevel"/>
    <w:tmpl w:val="88B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81AF2"/>
    <w:multiLevelType w:val="multilevel"/>
    <w:tmpl w:val="DC2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F049E"/>
    <w:multiLevelType w:val="multilevel"/>
    <w:tmpl w:val="8ADC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3604E"/>
    <w:multiLevelType w:val="hybridMultilevel"/>
    <w:tmpl w:val="D8B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9"/>
  </w:num>
  <w:num w:numId="6">
    <w:abstractNumId w:val="5"/>
  </w:num>
  <w:num w:numId="7">
    <w:abstractNumId w:val="6"/>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0231D"/>
    <w:rsid w:val="000155D3"/>
    <w:rsid w:val="000443C1"/>
    <w:rsid w:val="00065F24"/>
    <w:rsid w:val="00072EAD"/>
    <w:rsid w:val="0009532D"/>
    <w:rsid w:val="000A4B55"/>
    <w:rsid w:val="000A4F84"/>
    <w:rsid w:val="000C4B8C"/>
    <w:rsid w:val="000C4D11"/>
    <w:rsid w:val="000D1F82"/>
    <w:rsid w:val="000D2269"/>
    <w:rsid w:val="000D44C6"/>
    <w:rsid w:val="00101092"/>
    <w:rsid w:val="00121DD3"/>
    <w:rsid w:val="00134E26"/>
    <w:rsid w:val="00144B42"/>
    <w:rsid w:val="00147A34"/>
    <w:rsid w:val="001511E5"/>
    <w:rsid w:val="00152F4B"/>
    <w:rsid w:val="00164784"/>
    <w:rsid w:val="00191795"/>
    <w:rsid w:val="001C2BDF"/>
    <w:rsid w:val="001C4609"/>
    <w:rsid w:val="001C698F"/>
    <w:rsid w:val="001E36E3"/>
    <w:rsid w:val="00207D77"/>
    <w:rsid w:val="002705C6"/>
    <w:rsid w:val="00270F35"/>
    <w:rsid w:val="002732D9"/>
    <w:rsid w:val="002809F1"/>
    <w:rsid w:val="0029344E"/>
    <w:rsid w:val="002B27B0"/>
    <w:rsid w:val="002C256E"/>
    <w:rsid w:val="002D5E51"/>
    <w:rsid w:val="002F2CAF"/>
    <w:rsid w:val="002F2D86"/>
    <w:rsid w:val="00320909"/>
    <w:rsid w:val="00331BD7"/>
    <w:rsid w:val="00336EB5"/>
    <w:rsid w:val="00341C3D"/>
    <w:rsid w:val="00342589"/>
    <w:rsid w:val="003468FE"/>
    <w:rsid w:val="00375BCD"/>
    <w:rsid w:val="0038048F"/>
    <w:rsid w:val="00382480"/>
    <w:rsid w:val="00385FBF"/>
    <w:rsid w:val="003B761B"/>
    <w:rsid w:val="003C21D8"/>
    <w:rsid w:val="00416552"/>
    <w:rsid w:val="00417DF3"/>
    <w:rsid w:val="00425054"/>
    <w:rsid w:val="00432DE5"/>
    <w:rsid w:val="004616DF"/>
    <w:rsid w:val="0047117A"/>
    <w:rsid w:val="00476C1B"/>
    <w:rsid w:val="00477E5C"/>
    <w:rsid w:val="0053070C"/>
    <w:rsid w:val="00531461"/>
    <w:rsid w:val="00541E04"/>
    <w:rsid w:val="00542F13"/>
    <w:rsid w:val="00560AA4"/>
    <w:rsid w:val="0059417F"/>
    <w:rsid w:val="005E412A"/>
    <w:rsid w:val="005E5A1F"/>
    <w:rsid w:val="005E7FE7"/>
    <w:rsid w:val="005F5E47"/>
    <w:rsid w:val="00616029"/>
    <w:rsid w:val="006336A4"/>
    <w:rsid w:val="00635087"/>
    <w:rsid w:val="00654801"/>
    <w:rsid w:val="0066299F"/>
    <w:rsid w:val="00662FBE"/>
    <w:rsid w:val="00665454"/>
    <w:rsid w:val="00671A48"/>
    <w:rsid w:val="00673659"/>
    <w:rsid w:val="00693F02"/>
    <w:rsid w:val="0070234F"/>
    <w:rsid w:val="007335DA"/>
    <w:rsid w:val="00782646"/>
    <w:rsid w:val="007B597B"/>
    <w:rsid w:val="007C44C7"/>
    <w:rsid w:val="00851C89"/>
    <w:rsid w:val="00857335"/>
    <w:rsid w:val="00880B20"/>
    <w:rsid w:val="008814EF"/>
    <w:rsid w:val="0088682A"/>
    <w:rsid w:val="008B35E4"/>
    <w:rsid w:val="008D1687"/>
    <w:rsid w:val="008D4461"/>
    <w:rsid w:val="00913C2A"/>
    <w:rsid w:val="0091552A"/>
    <w:rsid w:val="00921151"/>
    <w:rsid w:val="0092122F"/>
    <w:rsid w:val="00942192"/>
    <w:rsid w:val="00974D3F"/>
    <w:rsid w:val="00993336"/>
    <w:rsid w:val="00997F15"/>
    <w:rsid w:val="009B061B"/>
    <w:rsid w:val="009C2525"/>
    <w:rsid w:val="009D29AE"/>
    <w:rsid w:val="009F13A3"/>
    <w:rsid w:val="00A04B95"/>
    <w:rsid w:val="00A16A66"/>
    <w:rsid w:val="00A21A63"/>
    <w:rsid w:val="00A23B87"/>
    <w:rsid w:val="00A2570D"/>
    <w:rsid w:val="00A27EF7"/>
    <w:rsid w:val="00A4556E"/>
    <w:rsid w:val="00A45604"/>
    <w:rsid w:val="00A50921"/>
    <w:rsid w:val="00A55213"/>
    <w:rsid w:val="00A6750F"/>
    <w:rsid w:val="00A958F6"/>
    <w:rsid w:val="00AB2DE4"/>
    <w:rsid w:val="00AB3D9C"/>
    <w:rsid w:val="00AB4D1D"/>
    <w:rsid w:val="00AC3D41"/>
    <w:rsid w:val="00AC4673"/>
    <w:rsid w:val="00B81802"/>
    <w:rsid w:val="00BB1AC1"/>
    <w:rsid w:val="00BB46CC"/>
    <w:rsid w:val="00BC450C"/>
    <w:rsid w:val="00BD70E6"/>
    <w:rsid w:val="00BE3B46"/>
    <w:rsid w:val="00C05DA7"/>
    <w:rsid w:val="00C42B2B"/>
    <w:rsid w:val="00C4345C"/>
    <w:rsid w:val="00C94D67"/>
    <w:rsid w:val="00C95EFD"/>
    <w:rsid w:val="00C971BB"/>
    <w:rsid w:val="00CA24E2"/>
    <w:rsid w:val="00CC47ED"/>
    <w:rsid w:val="00CC6026"/>
    <w:rsid w:val="00CC6101"/>
    <w:rsid w:val="00CD290E"/>
    <w:rsid w:val="00CE0872"/>
    <w:rsid w:val="00CE11E8"/>
    <w:rsid w:val="00CF0B98"/>
    <w:rsid w:val="00CF3D29"/>
    <w:rsid w:val="00CF725E"/>
    <w:rsid w:val="00D166D1"/>
    <w:rsid w:val="00D24A5A"/>
    <w:rsid w:val="00D3140F"/>
    <w:rsid w:val="00D33042"/>
    <w:rsid w:val="00D52221"/>
    <w:rsid w:val="00D724FA"/>
    <w:rsid w:val="00D9077C"/>
    <w:rsid w:val="00D952F4"/>
    <w:rsid w:val="00D95746"/>
    <w:rsid w:val="00DA0A87"/>
    <w:rsid w:val="00DC450E"/>
    <w:rsid w:val="00E01740"/>
    <w:rsid w:val="00E03466"/>
    <w:rsid w:val="00E65CCA"/>
    <w:rsid w:val="00E861BB"/>
    <w:rsid w:val="00E864AB"/>
    <w:rsid w:val="00EA031A"/>
    <w:rsid w:val="00EB3BF0"/>
    <w:rsid w:val="00ED049D"/>
    <w:rsid w:val="00ED25C0"/>
    <w:rsid w:val="00ED289A"/>
    <w:rsid w:val="00EE33D2"/>
    <w:rsid w:val="00EF3753"/>
    <w:rsid w:val="00F2414D"/>
    <w:rsid w:val="00F356D3"/>
    <w:rsid w:val="00F41E80"/>
    <w:rsid w:val="00F633A7"/>
    <w:rsid w:val="00F66852"/>
    <w:rsid w:val="00FA6EEF"/>
    <w:rsid w:val="00FC4E68"/>
    <w:rsid w:val="00FD3B39"/>
    <w:rsid w:val="00FD72FC"/>
    <w:rsid w:val="00FE220F"/>
    <w:rsid w:val="00FF5E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customStyle="1" w:styleId="citation-151">
    <w:name w:val="citation-151"/>
    <w:basedOn w:val="DefaultParagraphFont"/>
    <w:rsid w:val="00654801"/>
  </w:style>
  <w:style w:type="character" w:customStyle="1" w:styleId="citation-150">
    <w:name w:val="citation-150"/>
    <w:basedOn w:val="DefaultParagraphFont"/>
    <w:rsid w:val="00654801"/>
  </w:style>
  <w:style w:type="character" w:customStyle="1" w:styleId="citation-170">
    <w:name w:val="citation-170"/>
    <w:basedOn w:val="DefaultParagraphFont"/>
    <w:rsid w:val="00654801"/>
  </w:style>
  <w:style w:type="character" w:customStyle="1" w:styleId="citation-169">
    <w:name w:val="citation-169"/>
    <w:basedOn w:val="DefaultParagraphFont"/>
    <w:rsid w:val="00654801"/>
  </w:style>
  <w:style w:type="character" w:customStyle="1" w:styleId="citation-171">
    <w:name w:val="citation-171"/>
    <w:basedOn w:val="DefaultParagraphFont"/>
    <w:rsid w:val="00144B42"/>
  </w:style>
  <w:style w:type="character" w:styleId="Strong">
    <w:name w:val="Strong"/>
    <w:basedOn w:val="DefaultParagraphFont"/>
    <w:uiPriority w:val="22"/>
    <w:qFormat/>
    <w:rsid w:val="00A16A66"/>
    <w:rPr>
      <w:b/>
      <w:bCs/>
    </w:rPr>
  </w:style>
  <w:style w:type="paragraph" w:styleId="ListParagraph">
    <w:name w:val="List Paragraph"/>
    <w:basedOn w:val="Normal"/>
    <w:uiPriority w:val="34"/>
    <w:qFormat/>
    <w:rsid w:val="001E3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30503">
      <w:bodyDiv w:val="1"/>
      <w:marLeft w:val="0"/>
      <w:marRight w:val="0"/>
      <w:marTop w:val="0"/>
      <w:marBottom w:val="0"/>
      <w:divBdr>
        <w:top w:val="none" w:sz="0" w:space="0" w:color="auto"/>
        <w:left w:val="none" w:sz="0" w:space="0" w:color="auto"/>
        <w:bottom w:val="none" w:sz="0" w:space="0" w:color="auto"/>
        <w:right w:val="none" w:sz="0" w:space="0" w:color="auto"/>
      </w:divBdr>
    </w:div>
    <w:div w:id="430052286">
      <w:bodyDiv w:val="1"/>
      <w:marLeft w:val="0"/>
      <w:marRight w:val="0"/>
      <w:marTop w:val="0"/>
      <w:marBottom w:val="0"/>
      <w:divBdr>
        <w:top w:val="none" w:sz="0" w:space="0" w:color="auto"/>
        <w:left w:val="none" w:sz="0" w:space="0" w:color="auto"/>
        <w:bottom w:val="none" w:sz="0" w:space="0" w:color="auto"/>
        <w:right w:val="none" w:sz="0" w:space="0" w:color="auto"/>
      </w:divBdr>
    </w:div>
    <w:div w:id="434833231">
      <w:bodyDiv w:val="1"/>
      <w:marLeft w:val="0"/>
      <w:marRight w:val="0"/>
      <w:marTop w:val="0"/>
      <w:marBottom w:val="0"/>
      <w:divBdr>
        <w:top w:val="none" w:sz="0" w:space="0" w:color="auto"/>
        <w:left w:val="none" w:sz="0" w:space="0" w:color="auto"/>
        <w:bottom w:val="none" w:sz="0" w:space="0" w:color="auto"/>
        <w:right w:val="none" w:sz="0" w:space="0" w:color="auto"/>
      </w:divBdr>
    </w:div>
    <w:div w:id="549921891">
      <w:bodyDiv w:val="1"/>
      <w:marLeft w:val="0"/>
      <w:marRight w:val="0"/>
      <w:marTop w:val="0"/>
      <w:marBottom w:val="0"/>
      <w:divBdr>
        <w:top w:val="none" w:sz="0" w:space="0" w:color="auto"/>
        <w:left w:val="none" w:sz="0" w:space="0" w:color="auto"/>
        <w:bottom w:val="none" w:sz="0" w:space="0" w:color="auto"/>
        <w:right w:val="none" w:sz="0" w:space="0" w:color="auto"/>
      </w:divBdr>
    </w:div>
    <w:div w:id="575282046">
      <w:bodyDiv w:val="1"/>
      <w:marLeft w:val="0"/>
      <w:marRight w:val="0"/>
      <w:marTop w:val="0"/>
      <w:marBottom w:val="0"/>
      <w:divBdr>
        <w:top w:val="none" w:sz="0" w:space="0" w:color="auto"/>
        <w:left w:val="none" w:sz="0" w:space="0" w:color="auto"/>
        <w:bottom w:val="none" w:sz="0" w:space="0" w:color="auto"/>
        <w:right w:val="none" w:sz="0" w:space="0" w:color="auto"/>
      </w:divBdr>
    </w:div>
    <w:div w:id="577790011">
      <w:bodyDiv w:val="1"/>
      <w:marLeft w:val="0"/>
      <w:marRight w:val="0"/>
      <w:marTop w:val="0"/>
      <w:marBottom w:val="0"/>
      <w:divBdr>
        <w:top w:val="none" w:sz="0" w:space="0" w:color="auto"/>
        <w:left w:val="none" w:sz="0" w:space="0" w:color="auto"/>
        <w:bottom w:val="none" w:sz="0" w:space="0" w:color="auto"/>
        <w:right w:val="none" w:sz="0" w:space="0" w:color="auto"/>
      </w:divBdr>
    </w:div>
    <w:div w:id="793837807">
      <w:bodyDiv w:val="1"/>
      <w:marLeft w:val="0"/>
      <w:marRight w:val="0"/>
      <w:marTop w:val="0"/>
      <w:marBottom w:val="0"/>
      <w:divBdr>
        <w:top w:val="none" w:sz="0" w:space="0" w:color="auto"/>
        <w:left w:val="none" w:sz="0" w:space="0" w:color="auto"/>
        <w:bottom w:val="none" w:sz="0" w:space="0" w:color="auto"/>
        <w:right w:val="none" w:sz="0" w:space="0" w:color="auto"/>
      </w:divBdr>
    </w:div>
    <w:div w:id="908227068">
      <w:bodyDiv w:val="1"/>
      <w:marLeft w:val="0"/>
      <w:marRight w:val="0"/>
      <w:marTop w:val="0"/>
      <w:marBottom w:val="0"/>
      <w:divBdr>
        <w:top w:val="none" w:sz="0" w:space="0" w:color="auto"/>
        <w:left w:val="none" w:sz="0" w:space="0" w:color="auto"/>
        <w:bottom w:val="none" w:sz="0" w:space="0" w:color="auto"/>
        <w:right w:val="none" w:sz="0" w:space="0" w:color="auto"/>
      </w:divBdr>
    </w:div>
    <w:div w:id="925571308">
      <w:bodyDiv w:val="1"/>
      <w:marLeft w:val="0"/>
      <w:marRight w:val="0"/>
      <w:marTop w:val="0"/>
      <w:marBottom w:val="0"/>
      <w:divBdr>
        <w:top w:val="none" w:sz="0" w:space="0" w:color="auto"/>
        <w:left w:val="none" w:sz="0" w:space="0" w:color="auto"/>
        <w:bottom w:val="none" w:sz="0" w:space="0" w:color="auto"/>
        <w:right w:val="none" w:sz="0" w:space="0" w:color="auto"/>
      </w:divBdr>
    </w:div>
    <w:div w:id="964972075">
      <w:bodyDiv w:val="1"/>
      <w:marLeft w:val="0"/>
      <w:marRight w:val="0"/>
      <w:marTop w:val="0"/>
      <w:marBottom w:val="0"/>
      <w:divBdr>
        <w:top w:val="none" w:sz="0" w:space="0" w:color="auto"/>
        <w:left w:val="none" w:sz="0" w:space="0" w:color="auto"/>
        <w:bottom w:val="none" w:sz="0" w:space="0" w:color="auto"/>
        <w:right w:val="none" w:sz="0" w:space="0" w:color="auto"/>
      </w:divBdr>
    </w:div>
    <w:div w:id="1257396199">
      <w:bodyDiv w:val="1"/>
      <w:marLeft w:val="0"/>
      <w:marRight w:val="0"/>
      <w:marTop w:val="0"/>
      <w:marBottom w:val="0"/>
      <w:divBdr>
        <w:top w:val="none" w:sz="0" w:space="0" w:color="auto"/>
        <w:left w:val="none" w:sz="0" w:space="0" w:color="auto"/>
        <w:bottom w:val="none" w:sz="0" w:space="0" w:color="auto"/>
        <w:right w:val="none" w:sz="0" w:space="0" w:color="auto"/>
      </w:divBdr>
    </w:div>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 w:id="1723089400">
      <w:bodyDiv w:val="1"/>
      <w:marLeft w:val="0"/>
      <w:marRight w:val="0"/>
      <w:marTop w:val="0"/>
      <w:marBottom w:val="0"/>
      <w:divBdr>
        <w:top w:val="none" w:sz="0" w:space="0" w:color="auto"/>
        <w:left w:val="none" w:sz="0" w:space="0" w:color="auto"/>
        <w:bottom w:val="none" w:sz="0" w:space="0" w:color="auto"/>
        <w:right w:val="none" w:sz="0" w:space="0" w:color="auto"/>
      </w:divBdr>
    </w:div>
    <w:div w:id="2010717785">
      <w:bodyDiv w:val="1"/>
      <w:marLeft w:val="0"/>
      <w:marRight w:val="0"/>
      <w:marTop w:val="0"/>
      <w:marBottom w:val="0"/>
      <w:divBdr>
        <w:top w:val="none" w:sz="0" w:space="0" w:color="auto"/>
        <w:left w:val="none" w:sz="0" w:space="0" w:color="auto"/>
        <w:bottom w:val="none" w:sz="0" w:space="0" w:color="auto"/>
        <w:right w:val="none" w:sz="0" w:space="0" w:color="auto"/>
      </w:divBdr>
    </w:div>
    <w:div w:id="2029403407">
      <w:bodyDiv w:val="1"/>
      <w:marLeft w:val="0"/>
      <w:marRight w:val="0"/>
      <w:marTop w:val="0"/>
      <w:marBottom w:val="0"/>
      <w:divBdr>
        <w:top w:val="none" w:sz="0" w:space="0" w:color="auto"/>
        <w:left w:val="none" w:sz="0" w:space="0" w:color="auto"/>
        <w:bottom w:val="none" w:sz="0" w:space="0" w:color="auto"/>
        <w:right w:val="none" w:sz="0" w:space="0" w:color="auto"/>
      </w:divBdr>
    </w:div>
    <w:div w:id="20716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to:+012(345)67899" TargetMode="External"/><Relationship Id="rId3" Type="http://schemas.openxmlformats.org/officeDocument/2006/relationships/settings" Target="settings.xml"/><Relationship Id="rId7" Type="http://schemas.openxmlformats.org/officeDocument/2006/relationships/hyperlink" Target="https://peraturan.bpk.go.id/Details/46986/uu-no-6-tahun-19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2026-05-13T04:26:00Z</dcterms:created>
  <dcterms:modified xsi:type="dcterms:W3CDTF">2026-05-13T04:27:00Z</dcterms:modified>
</cp:coreProperties>
</file>